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1D8D7" w14:textId="26BA6B01" w:rsidR="00942BE9" w:rsidRDefault="00942BE9" w:rsidP="00942BE9">
      <w:pPr>
        <w:pStyle w:val="3GPPHeader"/>
        <w:spacing w:after="60"/>
        <w:rPr>
          <w:sz w:val="32"/>
          <w:szCs w:val="32"/>
          <w:highlight w:val="yellow"/>
        </w:rPr>
      </w:pPr>
      <w:bookmarkStart w:id="0" w:name="_Hlk74211100"/>
      <w:r>
        <w:t>3GPP TSG-RAN WG1 Meeting #106-bis-e</w:t>
      </w:r>
      <w:r>
        <w:tab/>
      </w:r>
      <w:proofErr w:type="spellStart"/>
      <w:r w:rsidRPr="001A7A39">
        <w:rPr>
          <w:sz w:val="32"/>
          <w:szCs w:val="32"/>
        </w:rPr>
        <w:t>Tdoc</w:t>
      </w:r>
      <w:proofErr w:type="spellEnd"/>
      <w:r w:rsidRPr="001A7A39">
        <w:rPr>
          <w:sz w:val="32"/>
          <w:szCs w:val="32"/>
        </w:rPr>
        <w:t xml:space="preserve"> R1-</w:t>
      </w:r>
      <w:r w:rsidR="00BF0E3D" w:rsidRPr="000870B8">
        <w:rPr>
          <w:sz w:val="32"/>
          <w:szCs w:val="32"/>
        </w:rPr>
        <w:t>2109434</w:t>
      </w:r>
    </w:p>
    <w:p w14:paraId="2ED89470" w14:textId="77777777" w:rsidR="00942BE9" w:rsidRDefault="00942BE9" w:rsidP="00942BE9">
      <w:pPr>
        <w:pStyle w:val="3GPPHeader"/>
      </w:pPr>
      <w:r>
        <w:t>e-Meeting, 11</w:t>
      </w:r>
      <w:r>
        <w:rPr>
          <w:vertAlign w:val="superscript"/>
        </w:rPr>
        <w:t>th</w:t>
      </w:r>
      <w:r>
        <w:t xml:space="preserve"> – 19</w:t>
      </w:r>
      <w:r>
        <w:rPr>
          <w:vertAlign w:val="superscript"/>
        </w:rPr>
        <w:t>th</w:t>
      </w:r>
      <w:r>
        <w:t xml:space="preserve"> </w:t>
      </w:r>
      <w:proofErr w:type="gramStart"/>
      <w:r>
        <w:t>October,</w:t>
      </w:r>
      <w:proofErr w:type="gramEnd"/>
      <w:r>
        <w:t xml:space="preserve"> 2021</w:t>
      </w:r>
    </w:p>
    <w:bookmarkEnd w:id="0"/>
    <w:p w14:paraId="692629A7" w14:textId="2C95F258" w:rsidR="00394451" w:rsidRPr="00FB1644" w:rsidRDefault="00394451" w:rsidP="00394451">
      <w:pPr>
        <w:pStyle w:val="3GPPHeader"/>
        <w:rPr>
          <w:sz w:val="22"/>
        </w:rPr>
      </w:pPr>
      <w:r w:rsidRPr="00FB1644">
        <w:rPr>
          <w:sz w:val="22"/>
        </w:rPr>
        <w:t>Agenda Item:</w:t>
      </w:r>
      <w:r w:rsidRPr="00FB1644">
        <w:rPr>
          <w:sz w:val="22"/>
        </w:rPr>
        <w:tab/>
        <w:t>8.2.2</w:t>
      </w:r>
    </w:p>
    <w:p w14:paraId="7818D0E5" w14:textId="77777777" w:rsidR="00394451" w:rsidRPr="00CE0424" w:rsidRDefault="00394451" w:rsidP="00394451">
      <w:pPr>
        <w:pStyle w:val="3GPPHeader"/>
        <w:rPr>
          <w:sz w:val="22"/>
        </w:rPr>
      </w:pPr>
      <w:r>
        <w:rPr>
          <w:sz w:val="22"/>
        </w:rPr>
        <w:t>Source:</w:t>
      </w:r>
      <w:r w:rsidRPr="00CE0424">
        <w:rPr>
          <w:sz w:val="22"/>
        </w:rPr>
        <w:tab/>
        <w:t>Ericsson</w:t>
      </w:r>
    </w:p>
    <w:p w14:paraId="6B12CA3D" w14:textId="753BC0BF" w:rsidR="00394451" w:rsidRPr="00CE0424" w:rsidRDefault="00394451" w:rsidP="00394451">
      <w:pPr>
        <w:pStyle w:val="3GPPHeader"/>
        <w:rPr>
          <w:sz w:val="22"/>
        </w:rPr>
      </w:pPr>
      <w:r>
        <w:rPr>
          <w:sz w:val="22"/>
        </w:rPr>
        <w:t>Title:</w:t>
      </w:r>
      <w:r w:rsidRPr="00CE0424">
        <w:rPr>
          <w:sz w:val="22"/>
        </w:rPr>
        <w:tab/>
      </w:r>
      <w:r w:rsidRPr="00394451">
        <w:rPr>
          <w:sz w:val="22"/>
        </w:rPr>
        <w:t>PDCCH monitoring enhancements</w:t>
      </w:r>
    </w:p>
    <w:p w14:paraId="4AE57979" w14:textId="77777777" w:rsidR="00394451" w:rsidRPr="00CE0424" w:rsidRDefault="00394451" w:rsidP="00394451">
      <w:pPr>
        <w:pStyle w:val="3GPPHeader"/>
        <w:rPr>
          <w:sz w:val="22"/>
        </w:rPr>
      </w:pPr>
      <w:r w:rsidRPr="00CE0424">
        <w:rPr>
          <w:sz w:val="22"/>
        </w:rPr>
        <w:t>Document for:</w:t>
      </w:r>
      <w:r w:rsidRPr="00CE0424">
        <w:rPr>
          <w:sz w:val="22"/>
        </w:rPr>
        <w:tab/>
      </w:r>
      <w:r w:rsidRPr="000237A3">
        <w:rPr>
          <w:sz w:val="22"/>
        </w:rPr>
        <w:t>Discussion, Decision</w:t>
      </w:r>
    </w:p>
    <w:p w14:paraId="11546F93" w14:textId="77777777" w:rsidR="00394451" w:rsidRPr="00CE0424" w:rsidRDefault="00394451" w:rsidP="00394451">
      <w:pPr>
        <w:pStyle w:val="Heading1"/>
      </w:pPr>
      <w:bookmarkStart w:id="1" w:name="_Toc67653037"/>
      <w:r>
        <w:t>1</w:t>
      </w:r>
      <w:r>
        <w:tab/>
      </w:r>
      <w:r w:rsidRPr="00CE0424">
        <w:t>Introduction</w:t>
      </w:r>
      <w:bookmarkEnd w:id="1"/>
    </w:p>
    <w:p w14:paraId="1183227D" w14:textId="32E0EF83" w:rsidR="003B504D" w:rsidRDefault="00332C63" w:rsidP="0013172E">
      <w:pPr>
        <w:pStyle w:val="BodyText"/>
      </w:pPr>
      <w:r w:rsidRPr="00332C63">
        <w:t>A</w:t>
      </w:r>
      <w:r w:rsidR="004D0756">
        <w:t xml:space="preserve"> revised</w:t>
      </w:r>
      <w:r w:rsidRPr="00332C63">
        <w:t xml:space="preserve"> WI</w:t>
      </w:r>
      <w:r>
        <w:t>D</w:t>
      </w:r>
      <w:r w:rsidRPr="00332C63">
        <w:t xml:space="preserve"> </w:t>
      </w:r>
      <w:r w:rsidR="00622BE3">
        <w:fldChar w:fldCharType="begin"/>
      </w:r>
      <w:r w:rsidR="00622BE3">
        <w:instrText xml:space="preserve"> REF _Ref61437387 \r \h </w:instrText>
      </w:r>
      <w:r w:rsidR="00622BE3">
        <w:fldChar w:fldCharType="separate"/>
      </w:r>
      <w:r w:rsidR="00584934">
        <w:t>[1]</w:t>
      </w:r>
      <w:r w:rsidR="00622BE3">
        <w:fldChar w:fldCharType="end"/>
      </w:r>
      <w:r w:rsidR="004D0756">
        <w:t xml:space="preserve"> </w:t>
      </w:r>
      <w:r w:rsidRPr="00332C63">
        <w:t>w</w:t>
      </w:r>
      <w:r w:rsidR="001B7F5D">
        <w:t>as</w:t>
      </w:r>
      <w:r w:rsidRPr="00332C63">
        <w:t xml:space="preserve"> approved in RAN #</w:t>
      </w:r>
      <w:r w:rsidR="007868F6">
        <w:t>90</w:t>
      </w:r>
      <w:r w:rsidRPr="00332C63">
        <w:t xml:space="preserve"> to </w:t>
      </w:r>
      <w:r w:rsidR="004A7CDE" w:rsidRPr="004A7CDE">
        <w:t>extends NR operation up to 71GHz considering, both, licensed and unlicensed operation</w:t>
      </w:r>
      <w:r w:rsidRPr="00332C63">
        <w:t xml:space="preserve">. </w:t>
      </w:r>
      <w:r w:rsidR="002E451E" w:rsidRPr="002E451E">
        <w:t>Among other items, the WID "Extending current NR operation to 71 GHz" includes the following RAN1 objective</w:t>
      </w:r>
      <w:r w:rsidR="002E451E">
        <w:t>:</w:t>
      </w:r>
    </w:p>
    <w:p w14:paraId="2253749B" w14:textId="19DC63EB" w:rsidR="002E451E" w:rsidRDefault="00B03FD8" w:rsidP="00B03FD8">
      <w:pPr>
        <w:pStyle w:val="BodyText"/>
        <w:ind w:left="567"/>
      </w:pPr>
      <w:r w:rsidRPr="00B03FD8">
        <w:t>Support enhancement to PDCCH monitoring, including blind detection/CCE budget, and multi-slot span monitoring, potential limitation to UE PDCCH configuration and capability related to PDCCH monitoring.</w:t>
      </w:r>
    </w:p>
    <w:p w14:paraId="30BD579F" w14:textId="19EE1CE2" w:rsidR="0013172E" w:rsidRDefault="0032365E" w:rsidP="00394451">
      <w:pPr>
        <w:pStyle w:val="BodyText"/>
      </w:pPr>
      <w:r>
        <w:t xml:space="preserve">With respect to </w:t>
      </w:r>
      <w:r w:rsidR="00075F91">
        <w:t xml:space="preserve">PDCCH monitoring capability enhancements, </w:t>
      </w:r>
      <w:r w:rsidR="0013172E">
        <w:t>it was agreed in RAN1 #106-e</w:t>
      </w:r>
    </w:p>
    <w:p w14:paraId="60B02F1E" w14:textId="77777777" w:rsidR="00152C73" w:rsidRPr="00135225" w:rsidRDefault="00152C73" w:rsidP="00135225">
      <w:pPr>
        <w:spacing w:before="120" w:after="120"/>
        <w:ind w:left="567"/>
        <w:rPr>
          <w:highlight w:val="green"/>
          <w:lang w:eastAsia="x-none"/>
        </w:rPr>
      </w:pPr>
      <w:r w:rsidRPr="00C46E7F">
        <w:rPr>
          <w:highlight w:val="green"/>
          <w:lang w:eastAsia="x-none"/>
        </w:rPr>
        <w:t>Agreement:</w:t>
      </w:r>
    </w:p>
    <w:p w14:paraId="620C8031" w14:textId="77777777" w:rsidR="00152C73" w:rsidRPr="00AC1A35" w:rsidRDefault="00152C73" w:rsidP="00135225">
      <w:pPr>
        <w:spacing w:after="0"/>
        <w:ind w:left="567"/>
        <w:rPr>
          <w:lang w:eastAsia="zh-CN"/>
        </w:rPr>
      </w:pPr>
      <w:r w:rsidRPr="00AC1A35">
        <w:rPr>
          <w:lang w:eastAsia="zh-CN"/>
        </w:rPr>
        <w:t>For reporting the multi-slot PDCCH monitoring capability, at least the following values are supported:</w:t>
      </w:r>
    </w:p>
    <w:p w14:paraId="149EC007" w14:textId="77777777" w:rsidR="00152C73" w:rsidRPr="00AC1A35" w:rsidRDefault="00152C73" w:rsidP="00AC216B">
      <w:pPr>
        <w:numPr>
          <w:ilvl w:val="0"/>
          <w:numId w:val="21"/>
        </w:numPr>
        <w:spacing w:after="0" w:line="240" w:lineRule="auto"/>
        <w:ind w:left="1287"/>
      </w:pPr>
      <w:r w:rsidRPr="00AC1A35">
        <w:t>X=4 slots for SCS 480 kHz</w:t>
      </w:r>
    </w:p>
    <w:p w14:paraId="2939996C" w14:textId="77777777" w:rsidR="00152C73" w:rsidRPr="00AC1A35" w:rsidRDefault="00152C73" w:rsidP="00AC216B">
      <w:pPr>
        <w:numPr>
          <w:ilvl w:val="0"/>
          <w:numId w:val="21"/>
        </w:numPr>
        <w:spacing w:after="0" w:line="240" w:lineRule="auto"/>
        <w:ind w:left="1287"/>
      </w:pPr>
      <w:r w:rsidRPr="00AC1A35">
        <w:t>X=8 slots for SCS 960 kHz</w:t>
      </w:r>
    </w:p>
    <w:p w14:paraId="13F673CD" w14:textId="77777777" w:rsidR="00135225" w:rsidRDefault="00135225" w:rsidP="00135225">
      <w:pPr>
        <w:spacing w:before="120" w:after="120"/>
        <w:ind w:left="567"/>
        <w:rPr>
          <w:lang w:eastAsia="x-none"/>
        </w:rPr>
      </w:pPr>
      <w:r w:rsidRPr="00342C2D">
        <w:rPr>
          <w:highlight w:val="green"/>
          <w:lang w:eastAsia="x-none"/>
        </w:rPr>
        <w:t>Agreement:</w:t>
      </w:r>
    </w:p>
    <w:p w14:paraId="70C5332C" w14:textId="77777777" w:rsidR="00135225" w:rsidRPr="00342C2D" w:rsidRDefault="00135225" w:rsidP="00AC216B">
      <w:pPr>
        <w:numPr>
          <w:ilvl w:val="0"/>
          <w:numId w:val="21"/>
        </w:numPr>
        <w:spacing w:after="0" w:line="240" w:lineRule="auto"/>
        <w:ind w:left="1287"/>
      </w:pPr>
      <w:r w:rsidRPr="00342C2D">
        <w:t>A UE supporting 480 kHz SCS supports multi-slot PDCCH monitoring for 480 kHz SCS.</w:t>
      </w:r>
    </w:p>
    <w:p w14:paraId="58491C90" w14:textId="77777777" w:rsidR="00135225" w:rsidRPr="00342C2D" w:rsidRDefault="00135225" w:rsidP="00AC216B">
      <w:pPr>
        <w:numPr>
          <w:ilvl w:val="0"/>
          <w:numId w:val="21"/>
        </w:numPr>
        <w:spacing w:after="0" w:line="240" w:lineRule="auto"/>
        <w:ind w:left="1287"/>
      </w:pPr>
      <w:r w:rsidRPr="00342C2D">
        <w:t>A UE supporting 960 kHz SCS supports multi-slot PDCCH monitoring for 960 kHz SCS.</w:t>
      </w:r>
    </w:p>
    <w:p w14:paraId="07D9AAA4" w14:textId="77777777" w:rsidR="00135225" w:rsidRDefault="00135225" w:rsidP="00AC216B">
      <w:pPr>
        <w:numPr>
          <w:ilvl w:val="0"/>
          <w:numId w:val="21"/>
        </w:numPr>
        <w:spacing w:after="240" w:line="240" w:lineRule="auto"/>
        <w:ind w:left="1282"/>
      </w:pPr>
      <w:r w:rsidRPr="00342C2D">
        <w:t xml:space="preserve">FFS: whether to apply multi-slot PDCCH </w:t>
      </w:r>
      <w:proofErr w:type="gramStart"/>
      <w:r w:rsidRPr="00342C2D">
        <w:t>monitoring at all times</w:t>
      </w:r>
      <w:proofErr w:type="gramEnd"/>
      <w:r w:rsidRPr="00342C2D">
        <w:t xml:space="preserve"> and for all search spaces.</w:t>
      </w:r>
    </w:p>
    <w:p w14:paraId="025A4C2C" w14:textId="146C3DCA" w:rsidR="007E304A" w:rsidRDefault="0013172E" w:rsidP="00394451">
      <w:pPr>
        <w:pStyle w:val="BodyText"/>
      </w:pPr>
      <w:r>
        <w:t>I</w:t>
      </w:r>
      <w:r w:rsidR="00075F91">
        <w:t xml:space="preserve">t was </w:t>
      </w:r>
      <w:r>
        <w:t xml:space="preserve">also </w:t>
      </w:r>
      <w:r w:rsidR="00075F91">
        <w:t>agreed in RAN1 #104</w:t>
      </w:r>
      <w:r w:rsidR="00EF0D71">
        <w:t>b</w:t>
      </w:r>
      <w:r w:rsidR="00075F91">
        <w:t>-e</w:t>
      </w:r>
      <w:r w:rsidR="00333946">
        <w:t xml:space="preserve"> and #106-e</w:t>
      </w:r>
    </w:p>
    <w:p w14:paraId="676629BD" w14:textId="77777777" w:rsidR="007E304A" w:rsidRPr="007E304A" w:rsidRDefault="007E304A" w:rsidP="00EF0D71">
      <w:pPr>
        <w:pStyle w:val="BodyText"/>
        <w:ind w:left="567"/>
      </w:pPr>
      <w:r w:rsidRPr="007E304A">
        <w:rPr>
          <w:highlight w:val="green"/>
          <w:lang w:val="en-GB"/>
        </w:rPr>
        <w:t>Agreement:</w:t>
      </w:r>
    </w:p>
    <w:p w14:paraId="4934C05E" w14:textId="77777777" w:rsidR="007E304A" w:rsidRPr="007E304A" w:rsidRDefault="007E304A" w:rsidP="00EF0D71">
      <w:pPr>
        <w:pStyle w:val="BodyText"/>
        <w:ind w:left="567"/>
      </w:pPr>
      <w:r w:rsidRPr="007E304A">
        <w:rPr>
          <w:lang w:val="en-GB"/>
        </w:rPr>
        <w:t>Choose one of the following alternatives for defining the multi-slot PDCCH monitoring capability</w:t>
      </w:r>
    </w:p>
    <w:p w14:paraId="07C4BD8E" w14:textId="77777777" w:rsidR="007E304A" w:rsidRPr="0051361A" w:rsidRDefault="007E304A" w:rsidP="00AC216B">
      <w:pPr>
        <w:pStyle w:val="BodyText"/>
        <w:numPr>
          <w:ilvl w:val="0"/>
          <w:numId w:val="18"/>
        </w:numPr>
        <w:tabs>
          <w:tab w:val="clear" w:pos="720"/>
          <w:tab w:val="num" w:pos="1287"/>
        </w:tabs>
        <w:ind w:left="1287"/>
        <w:contextualSpacing/>
      </w:pPr>
      <w:r w:rsidRPr="007E304A">
        <w:rPr>
          <w:lang w:val="en-GB"/>
        </w:rPr>
        <w:t xml:space="preserve">Alt 1: Use a fixed pattern of slot groups as the baseline to define the new capability. </w:t>
      </w:r>
    </w:p>
    <w:p w14:paraId="66442A5B" w14:textId="77777777" w:rsidR="001A18D8" w:rsidRPr="001A18D8" w:rsidRDefault="001A18D8" w:rsidP="00AC216B">
      <w:pPr>
        <w:pStyle w:val="BodyText"/>
        <w:numPr>
          <w:ilvl w:val="1"/>
          <w:numId w:val="18"/>
        </w:numPr>
        <w:tabs>
          <w:tab w:val="clear" w:pos="1440"/>
          <w:tab w:val="num" w:pos="2007"/>
        </w:tabs>
        <w:ind w:left="2007"/>
        <w:contextualSpacing/>
        <w:rPr>
          <w:lang w:val="en-GB"/>
        </w:rPr>
      </w:pPr>
      <w:r w:rsidRPr="001A18D8">
        <w:rPr>
          <w:lang w:val="en-GB"/>
        </w:rPr>
        <w:t>Each slot group consists of X slots</w:t>
      </w:r>
    </w:p>
    <w:p w14:paraId="6019E42C" w14:textId="77777777" w:rsidR="001A18D8" w:rsidRPr="001A18D8" w:rsidRDefault="001A18D8" w:rsidP="00AC216B">
      <w:pPr>
        <w:pStyle w:val="BodyText"/>
        <w:numPr>
          <w:ilvl w:val="1"/>
          <w:numId w:val="18"/>
        </w:numPr>
        <w:tabs>
          <w:tab w:val="clear" w:pos="1440"/>
          <w:tab w:val="num" w:pos="2007"/>
        </w:tabs>
        <w:ind w:left="2007"/>
        <w:contextualSpacing/>
        <w:rPr>
          <w:lang w:val="en-GB"/>
        </w:rPr>
      </w:pPr>
      <w:r w:rsidRPr="001A18D8">
        <w:rPr>
          <w:lang w:val="en-GB"/>
        </w:rPr>
        <w:t>Slot groups are consecutive and non-overlapping</w:t>
      </w:r>
    </w:p>
    <w:p w14:paraId="5C535EEC" w14:textId="6D0F0EE8" w:rsidR="001A18D8" w:rsidRPr="001A18D8" w:rsidRDefault="001A18D8" w:rsidP="00AC216B">
      <w:pPr>
        <w:pStyle w:val="BodyText"/>
        <w:numPr>
          <w:ilvl w:val="1"/>
          <w:numId w:val="18"/>
        </w:numPr>
        <w:tabs>
          <w:tab w:val="clear" w:pos="1440"/>
          <w:tab w:val="num" w:pos="2007"/>
        </w:tabs>
        <w:ind w:left="2007"/>
        <w:contextualSpacing/>
        <w:rPr>
          <w:lang w:val="en-GB"/>
        </w:rPr>
      </w:pPr>
      <w:r w:rsidRPr="001A18D8">
        <w:rPr>
          <w:lang w:val="en-GB"/>
        </w:rPr>
        <w:t xml:space="preserve">The capability indicates the BD/CCE budget within Y consecutive slots in each slot group </w:t>
      </w:r>
    </w:p>
    <w:p w14:paraId="056D7601" w14:textId="77777777" w:rsidR="001A18D8" w:rsidRPr="001A18D8" w:rsidRDefault="001A18D8" w:rsidP="00AC216B">
      <w:pPr>
        <w:pStyle w:val="BodyText"/>
        <w:numPr>
          <w:ilvl w:val="2"/>
          <w:numId w:val="18"/>
        </w:numPr>
        <w:tabs>
          <w:tab w:val="clear" w:pos="2160"/>
        </w:tabs>
        <w:ind w:left="2610"/>
        <w:contextualSpacing/>
        <w:rPr>
          <w:lang w:val="en-GB"/>
        </w:rPr>
      </w:pPr>
      <w:r w:rsidRPr="001A18D8">
        <w:rPr>
          <w:lang w:val="en-GB"/>
        </w:rPr>
        <w:t>The location of the Y slots within the X slots is maintained across different slot groups</w:t>
      </w:r>
    </w:p>
    <w:p w14:paraId="5354B7EA" w14:textId="77777777" w:rsidR="001A18D8" w:rsidRPr="001A18D8" w:rsidRDefault="001A18D8" w:rsidP="00AC216B">
      <w:pPr>
        <w:pStyle w:val="BodyText"/>
        <w:numPr>
          <w:ilvl w:val="1"/>
          <w:numId w:val="18"/>
        </w:numPr>
        <w:tabs>
          <w:tab w:val="clear" w:pos="1440"/>
          <w:tab w:val="num" w:pos="2007"/>
        </w:tabs>
        <w:ind w:left="2007"/>
        <w:contextualSpacing/>
        <w:rPr>
          <w:lang w:val="en-GB"/>
        </w:rPr>
      </w:pPr>
      <w:r w:rsidRPr="001A18D8">
        <w:rPr>
          <w:lang w:val="en-GB"/>
        </w:rPr>
        <w:t>Further discuss down-selection of Y within 1&lt;=Y&lt;=X/2 (both in units of slot) when X&gt;1</w:t>
      </w:r>
    </w:p>
    <w:p w14:paraId="19C20993" w14:textId="77777777" w:rsidR="001A18D8" w:rsidRPr="001A18D8" w:rsidRDefault="001A18D8" w:rsidP="00AC216B">
      <w:pPr>
        <w:pStyle w:val="BodyText"/>
        <w:numPr>
          <w:ilvl w:val="1"/>
          <w:numId w:val="18"/>
        </w:numPr>
        <w:tabs>
          <w:tab w:val="clear" w:pos="1440"/>
          <w:tab w:val="num" w:pos="2007"/>
        </w:tabs>
        <w:ind w:left="2007"/>
        <w:contextualSpacing/>
        <w:rPr>
          <w:lang w:val="en-GB"/>
        </w:rPr>
      </w:pPr>
      <w:r w:rsidRPr="001A18D8">
        <w:rPr>
          <w:lang w:val="en-GB"/>
        </w:rPr>
        <w:t>FFS: Further definition of capabilities</w:t>
      </w:r>
    </w:p>
    <w:p w14:paraId="43F61B27" w14:textId="77777777" w:rsidR="001A18D8" w:rsidRPr="001A18D8" w:rsidRDefault="001A18D8" w:rsidP="00AC216B">
      <w:pPr>
        <w:pStyle w:val="BodyText"/>
        <w:numPr>
          <w:ilvl w:val="1"/>
          <w:numId w:val="18"/>
        </w:numPr>
        <w:tabs>
          <w:tab w:val="clear" w:pos="1440"/>
          <w:tab w:val="num" w:pos="2007"/>
        </w:tabs>
        <w:ind w:left="2007"/>
        <w:contextualSpacing/>
        <w:rPr>
          <w:lang w:val="en-GB"/>
        </w:rPr>
      </w:pPr>
      <w:r w:rsidRPr="001A18D8">
        <w:rPr>
          <w:lang w:val="en-GB"/>
        </w:rPr>
        <w:t>FFS: The following issues for the search space configuration discussion</w:t>
      </w:r>
    </w:p>
    <w:p w14:paraId="537C7D56" w14:textId="77777777" w:rsidR="001A18D8" w:rsidRPr="001A18D8" w:rsidRDefault="001A18D8" w:rsidP="00AC216B">
      <w:pPr>
        <w:pStyle w:val="BodyText"/>
        <w:numPr>
          <w:ilvl w:val="2"/>
          <w:numId w:val="18"/>
        </w:numPr>
        <w:tabs>
          <w:tab w:val="clear" w:pos="2160"/>
          <w:tab w:val="num" w:pos="2007"/>
        </w:tabs>
        <w:ind w:left="2610"/>
        <w:contextualSpacing/>
        <w:rPr>
          <w:lang w:val="en-GB"/>
        </w:rPr>
      </w:pPr>
      <w:r w:rsidRPr="001A18D8">
        <w:rPr>
          <w:lang w:val="en-GB"/>
        </w:rPr>
        <w:t>Whether a slot group is aligned with a slot boundary</w:t>
      </w:r>
    </w:p>
    <w:p w14:paraId="69E121BC" w14:textId="77777777" w:rsidR="001A18D8" w:rsidRPr="001A18D8" w:rsidRDefault="001A18D8" w:rsidP="00AC216B">
      <w:pPr>
        <w:pStyle w:val="BodyText"/>
        <w:numPr>
          <w:ilvl w:val="2"/>
          <w:numId w:val="18"/>
        </w:numPr>
        <w:tabs>
          <w:tab w:val="clear" w:pos="2160"/>
          <w:tab w:val="num" w:pos="2007"/>
        </w:tabs>
        <w:ind w:left="2610"/>
        <w:contextualSpacing/>
        <w:rPr>
          <w:lang w:val="en-GB"/>
        </w:rPr>
      </w:pPr>
      <w:r w:rsidRPr="001A18D8">
        <w:rPr>
          <w:lang w:val="en-GB"/>
        </w:rPr>
        <w:t xml:space="preserve">Restrictions on location of the Y slots within a slot group, </w:t>
      </w:r>
      <w:proofErr w:type="gramStart"/>
      <w:r w:rsidRPr="001A18D8">
        <w:rPr>
          <w:lang w:val="en-GB"/>
        </w:rPr>
        <w:t>e.g.</w:t>
      </w:r>
      <w:proofErr w:type="gramEnd"/>
      <w:r w:rsidRPr="001A18D8">
        <w:rPr>
          <w:lang w:val="en-GB"/>
        </w:rPr>
        <w:t xml:space="preserve"> whether to restrict the location of a SS to be within the first Y slots within a slot group</w:t>
      </w:r>
    </w:p>
    <w:p w14:paraId="7CD80CCC" w14:textId="77777777" w:rsidR="001A18D8" w:rsidRPr="001A18D8" w:rsidRDefault="001A18D8" w:rsidP="00AC216B">
      <w:pPr>
        <w:pStyle w:val="BodyText"/>
        <w:numPr>
          <w:ilvl w:val="1"/>
          <w:numId w:val="18"/>
        </w:numPr>
        <w:tabs>
          <w:tab w:val="clear" w:pos="1440"/>
          <w:tab w:val="num" w:pos="2007"/>
        </w:tabs>
        <w:ind w:left="2007"/>
        <w:rPr>
          <w:lang w:val="en-GB"/>
        </w:rPr>
      </w:pPr>
      <w:r w:rsidRPr="001A18D8">
        <w:rPr>
          <w:lang w:val="en-GB"/>
        </w:rPr>
        <w:t>FFS: What the UE capability defines for monitoring within the Y slots</w:t>
      </w:r>
    </w:p>
    <w:p w14:paraId="44F6FEBE" w14:textId="77777777" w:rsidR="007E304A" w:rsidRPr="007E304A" w:rsidRDefault="007E304A" w:rsidP="00AC216B">
      <w:pPr>
        <w:pStyle w:val="BodyText"/>
        <w:numPr>
          <w:ilvl w:val="0"/>
          <w:numId w:val="18"/>
        </w:numPr>
        <w:tabs>
          <w:tab w:val="clear" w:pos="720"/>
          <w:tab w:val="num" w:pos="1287"/>
        </w:tabs>
        <w:ind w:left="1287"/>
        <w:contextualSpacing/>
      </w:pPr>
      <w:r w:rsidRPr="007E304A">
        <w:rPr>
          <w:lang w:val="en-GB"/>
        </w:rPr>
        <w:t>Alt 2: Use an (X, Y) span as the baseline to define the new capability</w:t>
      </w:r>
    </w:p>
    <w:p w14:paraId="5297A021" w14:textId="77777777" w:rsidR="007E304A" w:rsidRPr="007E304A" w:rsidRDefault="007E304A" w:rsidP="00AC216B">
      <w:pPr>
        <w:pStyle w:val="BodyText"/>
        <w:numPr>
          <w:ilvl w:val="1"/>
          <w:numId w:val="18"/>
        </w:numPr>
        <w:tabs>
          <w:tab w:val="clear" w:pos="1440"/>
          <w:tab w:val="num" w:pos="2007"/>
        </w:tabs>
        <w:ind w:left="2007"/>
        <w:contextualSpacing/>
      </w:pPr>
      <w:r w:rsidRPr="007E304A">
        <w:rPr>
          <w:lang w:val="en-GB"/>
        </w:rPr>
        <w:t>X is the minimum time separation between the start of two consecutive spans</w:t>
      </w:r>
    </w:p>
    <w:p w14:paraId="1DE6FB6A" w14:textId="77777777" w:rsidR="007E304A" w:rsidRPr="007E304A" w:rsidRDefault="007E304A" w:rsidP="00AC216B">
      <w:pPr>
        <w:pStyle w:val="BodyText"/>
        <w:numPr>
          <w:ilvl w:val="1"/>
          <w:numId w:val="18"/>
        </w:numPr>
        <w:tabs>
          <w:tab w:val="clear" w:pos="1440"/>
          <w:tab w:val="num" w:pos="2007"/>
        </w:tabs>
        <w:ind w:left="2007"/>
        <w:contextualSpacing/>
      </w:pPr>
      <w:r w:rsidRPr="007E304A">
        <w:rPr>
          <w:lang w:val="en-GB"/>
        </w:rPr>
        <w:t xml:space="preserve">The capability indicates the BD/CCE budget within a span of at most Y consecutive [symbols or slots] </w:t>
      </w:r>
    </w:p>
    <w:p w14:paraId="4147DACA" w14:textId="77777777" w:rsidR="007E304A" w:rsidRPr="007E304A" w:rsidRDefault="007E304A" w:rsidP="00AC216B">
      <w:pPr>
        <w:pStyle w:val="BodyText"/>
        <w:numPr>
          <w:ilvl w:val="1"/>
          <w:numId w:val="18"/>
        </w:numPr>
        <w:tabs>
          <w:tab w:val="clear" w:pos="1440"/>
          <w:tab w:val="num" w:pos="2007"/>
        </w:tabs>
        <w:ind w:left="2007"/>
        <w:contextualSpacing/>
      </w:pPr>
      <w:r w:rsidRPr="007E304A">
        <w:rPr>
          <w:lang w:val="en-GB"/>
        </w:rPr>
        <w:lastRenderedPageBreak/>
        <w:t>Y &lt;= X</w:t>
      </w:r>
    </w:p>
    <w:p w14:paraId="7CA14395" w14:textId="77777777" w:rsidR="007E304A" w:rsidRPr="007E304A" w:rsidRDefault="007E304A" w:rsidP="00AC216B">
      <w:pPr>
        <w:pStyle w:val="BodyText"/>
        <w:numPr>
          <w:ilvl w:val="1"/>
          <w:numId w:val="18"/>
        </w:numPr>
        <w:tabs>
          <w:tab w:val="clear" w:pos="1440"/>
          <w:tab w:val="num" w:pos="2007"/>
        </w:tabs>
        <w:ind w:left="2007"/>
        <w:contextualSpacing/>
      </w:pPr>
      <w:r w:rsidRPr="007E304A">
        <w:rPr>
          <w:lang w:val="en-GB"/>
        </w:rPr>
        <w:t xml:space="preserve">FFS: Exact values of X and Y and units in which they are defined (e.g., symbols, slots), including cases where a span is longer than one slot or crosses a slot boundary. </w:t>
      </w:r>
    </w:p>
    <w:p w14:paraId="51AAA0EA" w14:textId="77777777" w:rsidR="007E304A" w:rsidRPr="007E304A" w:rsidRDefault="007E304A" w:rsidP="00AC216B">
      <w:pPr>
        <w:pStyle w:val="BodyText"/>
        <w:numPr>
          <w:ilvl w:val="1"/>
          <w:numId w:val="18"/>
        </w:numPr>
        <w:tabs>
          <w:tab w:val="clear" w:pos="1440"/>
          <w:tab w:val="num" w:pos="2007"/>
        </w:tabs>
        <w:ind w:left="2007"/>
        <w:contextualSpacing/>
      </w:pPr>
      <w:r w:rsidRPr="007E304A">
        <w:rPr>
          <w:lang w:val="en-GB"/>
        </w:rPr>
        <w:t xml:space="preserve">FFS: What is a span pattern, how it is defined and whether it is supported. If it is supported, whether number of slots within which the span pattern is repeated is needed, and if needed, the value of the number of slots. </w:t>
      </w:r>
    </w:p>
    <w:p w14:paraId="19EC1F88" w14:textId="77777777" w:rsidR="007E304A" w:rsidRPr="007E304A" w:rsidRDefault="007E304A" w:rsidP="00AC216B">
      <w:pPr>
        <w:pStyle w:val="BodyText"/>
        <w:numPr>
          <w:ilvl w:val="1"/>
          <w:numId w:val="18"/>
        </w:numPr>
        <w:tabs>
          <w:tab w:val="clear" w:pos="1440"/>
          <w:tab w:val="num" w:pos="2007"/>
        </w:tabs>
        <w:ind w:left="2007"/>
      </w:pPr>
      <w:r w:rsidRPr="007E304A">
        <w:rPr>
          <w:lang w:val="en-GB"/>
        </w:rPr>
        <w:t>FFS: Further definition of capabilities</w:t>
      </w:r>
    </w:p>
    <w:p w14:paraId="128254D0" w14:textId="77777777" w:rsidR="007E304A" w:rsidRPr="007E304A" w:rsidRDefault="007E304A" w:rsidP="00AC216B">
      <w:pPr>
        <w:pStyle w:val="BodyText"/>
        <w:numPr>
          <w:ilvl w:val="0"/>
          <w:numId w:val="18"/>
        </w:numPr>
        <w:tabs>
          <w:tab w:val="clear" w:pos="720"/>
          <w:tab w:val="num" w:pos="1287"/>
        </w:tabs>
        <w:ind w:left="1287"/>
        <w:contextualSpacing/>
      </w:pPr>
      <w:r w:rsidRPr="007E304A">
        <w:rPr>
          <w:lang w:val="en-GB"/>
        </w:rPr>
        <w:t xml:space="preserve">Alt 3: Use a sliding window of X slots as the baseline to define the new capability. </w:t>
      </w:r>
    </w:p>
    <w:p w14:paraId="2CFC7014" w14:textId="77777777" w:rsidR="007E304A" w:rsidRPr="007E304A" w:rsidRDefault="007E304A" w:rsidP="00AC216B">
      <w:pPr>
        <w:pStyle w:val="BodyText"/>
        <w:numPr>
          <w:ilvl w:val="1"/>
          <w:numId w:val="18"/>
        </w:numPr>
        <w:tabs>
          <w:tab w:val="clear" w:pos="1440"/>
          <w:tab w:val="num" w:pos="2007"/>
        </w:tabs>
        <w:ind w:left="2007"/>
        <w:contextualSpacing/>
      </w:pPr>
      <w:r w:rsidRPr="007E304A">
        <w:rPr>
          <w:lang w:val="en-GB"/>
        </w:rPr>
        <w:t>The capability indicates the BD/CCE budget within the sliding window</w:t>
      </w:r>
    </w:p>
    <w:p w14:paraId="6B6471CD" w14:textId="1A3A1824" w:rsidR="007E304A" w:rsidRPr="007E304A" w:rsidRDefault="007E304A" w:rsidP="00AC216B">
      <w:pPr>
        <w:pStyle w:val="BodyText"/>
        <w:numPr>
          <w:ilvl w:val="1"/>
          <w:numId w:val="18"/>
        </w:numPr>
        <w:tabs>
          <w:tab w:val="clear" w:pos="1440"/>
          <w:tab w:val="num" w:pos="2007"/>
        </w:tabs>
        <w:ind w:left="2007"/>
        <w:contextualSpacing/>
      </w:pPr>
      <w:r w:rsidRPr="007E304A">
        <w:rPr>
          <w:lang w:val="en-GB"/>
        </w:rPr>
        <w:t>The sliding unit of the sliding window is [1] slot.</w:t>
      </w:r>
    </w:p>
    <w:p w14:paraId="076EAAB4" w14:textId="77777777" w:rsidR="007E304A" w:rsidRPr="007E304A" w:rsidRDefault="007E304A" w:rsidP="00AC216B">
      <w:pPr>
        <w:pStyle w:val="BodyText"/>
        <w:numPr>
          <w:ilvl w:val="1"/>
          <w:numId w:val="18"/>
        </w:numPr>
        <w:tabs>
          <w:tab w:val="clear" w:pos="1440"/>
          <w:tab w:val="num" w:pos="2007"/>
        </w:tabs>
        <w:ind w:left="2007"/>
      </w:pPr>
      <w:r w:rsidRPr="007E304A">
        <w:rPr>
          <w:lang w:val="en-GB"/>
        </w:rPr>
        <w:t>FFS: Further definition of capabilities</w:t>
      </w:r>
    </w:p>
    <w:p w14:paraId="3B977E27" w14:textId="77777777" w:rsidR="007E304A" w:rsidRPr="007E304A" w:rsidRDefault="007E304A" w:rsidP="00AC216B">
      <w:pPr>
        <w:pStyle w:val="BodyText"/>
        <w:numPr>
          <w:ilvl w:val="0"/>
          <w:numId w:val="18"/>
        </w:numPr>
        <w:tabs>
          <w:tab w:val="clear" w:pos="720"/>
          <w:tab w:val="num" w:pos="1287"/>
        </w:tabs>
        <w:ind w:left="1287"/>
        <w:contextualSpacing/>
      </w:pPr>
      <w:r w:rsidRPr="007E304A">
        <w:rPr>
          <w:lang w:val="en-GB"/>
        </w:rPr>
        <w:t>Specific numbers for X, Y may depend on UE capability and gNB configuration</w:t>
      </w:r>
    </w:p>
    <w:p w14:paraId="3DCF71F0" w14:textId="77777777" w:rsidR="007E304A" w:rsidRPr="007E304A" w:rsidRDefault="007E304A" w:rsidP="00AC216B">
      <w:pPr>
        <w:pStyle w:val="BodyText"/>
        <w:numPr>
          <w:ilvl w:val="1"/>
          <w:numId w:val="18"/>
        </w:numPr>
        <w:tabs>
          <w:tab w:val="clear" w:pos="1440"/>
          <w:tab w:val="num" w:pos="2007"/>
        </w:tabs>
        <w:ind w:left="2007"/>
        <w:contextualSpacing/>
      </w:pPr>
      <w:r w:rsidRPr="007E304A">
        <w:rPr>
          <w:lang w:val="en-GB"/>
        </w:rPr>
        <w:t xml:space="preserve">Examples: </w:t>
      </w:r>
    </w:p>
    <w:p w14:paraId="5A52E0DF" w14:textId="77777777" w:rsidR="007E304A" w:rsidRPr="007E304A" w:rsidRDefault="007E304A" w:rsidP="00AC216B">
      <w:pPr>
        <w:pStyle w:val="BodyText"/>
        <w:numPr>
          <w:ilvl w:val="2"/>
          <w:numId w:val="18"/>
        </w:numPr>
        <w:tabs>
          <w:tab w:val="clear" w:pos="2160"/>
          <w:tab w:val="num" w:pos="2727"/>
        </w:tabs>
        <w:ind w:left="2727"/>
      </w:pPr>
      <w:r w:rsidRPr="007E304A">
        <w:rPr>
          <w:lang w:val="en-GB"/>
        </w:rPr>
        <w:t>X = [4] slots for 480 kHz SCS and X = [8] slots for 960 kHz SCS</w:t>
      </w:r>
    </w:p>
    <w:p w14:paraId="24D761FA" w14:textId="13ADC676" w:rsidR="0054255F" w:rsidRDefault="003E33A4" w:rsidP="00394451">
      <w:pPr>
        <w:pStyle w:val="BodyText"/>
      </w:pPr>
      <w:r w:rsidRPr="003E33A4">
        <w:t>In this contribution,</w:t>
      </w:r>
      <w:r>
        <w:t xml:space="preserve"> we first discuss the UE PDCCH processing capabilities for new SCS</w:t>
      </w:r>
      <w:r w:rsidR="00220791">
        <w:t xml:space="preserve">. We </w:t>
      </w:r>
      <w:r w:rsidR="00191EEA">
        <w:t xml:space="preserve">then </w:t>
      </w:r>
      <w:r w:rsidR="009C34C8">
        <w:t xml:space="preserve">explore </w:t>
      </w:r>
      <w:r w:rsidR="00220791">
        <w:t xml:space="preserve">the solutions to support multi-slot PDCCH </w:t>
      </w:r>
      <w:r w:rsidR="0014122C">
        <w:t>monitoring.</w:t>
      </w:r>
    </w:p>
    <w:p w14:paraId="19EFBA2B" w14:textId="298D69E2" w:rsidR="00B46565" w:rsidRDefault="008B506A" w:rsidP="00A27B63">
      <w:pPr>
        <w:pStyle w:val="Heading1"/>
      </w:pPr>
      <w:bookmarkStart w:id="2" w:name="_Toc67653038"/>
      <w:r>
        <w:t>2</w:t>
      </w:r>
      <w:r>
        <w:tab/>
      </w:r>
      <w:r w:rsidR="00B46565">
        <w:t>Discussion</w:t>
      </w:r>
      <w:bookmarkEnd w:id="2"/>
    </w:p>
    <w:p w14:paraId="47CE9C00" w14:textId="1F180088" w:rsidR="00BA45BB" w:rsidRDefault="00BA45BB" w:rsidP="00BA45BB">
      <w:pPr>
        <w:pStyle w:val="Heading2"/>
      </w:pPr>
      <w:r>
        <w:t>2.1</w:t>
      </w:r>
      <w:r>
        <w:tab/>
        <w:t>Applicability of per-slot and multi-slot PDCCH monitoring</w:t>
      </w:r>
    </w:p>
    <w:p w14:paraId="7A95950E" w14:textId="4AD4AD51" w:rsidR="00D962FF" w:rsidRDefault="00D962FF" w:rsidP="00BA45BB">
      <w:pPr>
        <w:pStyle w:val="Heading3"/>
      </w:pPr>
      <w:r>
        <w:t>2.1</w:t>
      </w:r>
      <w:r w:rsidR="008A00FF">
        <w:t>.1</w:t>
      </w:r>
      <w:r>
        <w:tab/>
      </w:r>
      <w:r w:rsidR="00945CC0">
        <w:t xml:space="preserve">Clarification of multi-slot PDCCH monitoring </w:t>
      </w:r>
      <w:r w:rsidR="00E75A26">
        <w:t xml:space="preserve">capability budget and </w:t>
      </w:r>
      <w:r w:rsidR="00C97AE4">
        <w:t xml:space="preserve">monitoring occasion restrictions </w:t>
      </w:r>
    </w:p>
    <w:p w14:paraId="14F3820E" w14:textId="1A073CFC" w:rsidR="00AF7E19" w:rsidRDefault="00AF7E19" w:rsidP="00AF7E19">
      <w:pPr>
        <w:jc w:val="both"/>
        <w:rPr>
          <w:lang w:val="en-GB" w:eastAsia="ja-JP"/>
        </w:rPr>
      </w:pPr>
      <w:r w:rsidRPr="002B1347">
        <w:rPr>
          <w:lang w:val="en-GB" w:eastAsia="ja-JP"/>
        </w:rPr>
        <w:t xml:space="preserve">In </w:t>
      </w:r>
      <w:r>
        <w:rPr>
          <w:lang w:val="en-GB" w:eastAsia="ja-JP"/>
        </w:rPr>
        <w:t xml:space="preserve">the </w:t>
      </w:r>
      <w:r w:rsidRPr="002B1347">
        <w:rPr>
          <w:lang w:val="en-GB" w:eastAsia="ja-JP"/>
        </w:rPr>
        <w:t xml:space="preserve">Rel-15 </w:t>
      </w:r>
      <w:r>
        <w:rPr>
          <w:lang w:val="en-GB" w:eastAsia="ja-JP"/>
        </w:rPr>
        <w:t xml:space="preserve">mandatory PDCCH monitoring capability for UEs (FG 3-1) </w:t>
      </w:r>
      <w:r>
        <w:rPr>
          <w:lang w:val="en-GB" w:eastAsia="ja-JP"/>
        </w:rPr>
        <w:fldChar w:fldCharType="begin"/>
      </w:r>
      <w:r>
        <w:rPr>
          <w:lang w:val="en-GB" w:eastAsia="ja-JP"/>
        </w:rPr>
        <w:instrText xml:space="preserve"> REF _Ref83642650 \r \h </w:instrText>
      </w:r>
      <w:r>
        <w:rPr>
          <w:lang w:val="en-GB" w:eastAsia="ja-JP"/>
        </w:rPr>
      </w:r>
      <w:r>
        <w:rPr>
          <w:lang w:val="en-GB" w:eastAsia="ja-JP"/>
        </w:rPr>
        <w:fldChar w:fldCharType="separate"/>
      </w:r>
      <w:r w:rsidR="00584934">
        <w:rPr>
          <w:lang w:val="en-GB" w:eastAsia="ja-JP"/>
        </w:rPr>
        <w:t>[4]</w:t>
      </w:r>
      <w:r>
        <w:rPr>
          <w:lang w:val="en-GB" w:eastAsia="ja-JP"/>
        </w:rPr>
        <w:fldChar w:fldCharType="end"/>
      </w:r>
      <w:r>
        <w:rPr>
          <w:lang w:val="en-GB" w:eastAsia="ja-JP"/>
        </w:rPr>
        <w:t>, a clear distinction is made between SS with RRC configuration and those without:</w:t>
      </w:r>
    </w:p>
    <w:p w14:paraId="5CD10C1B" w14:textId="77777777" w:rsidR="00AF7E19" w:rsidRPr="004450C3" w:rsidRDefault="00AF7E19" w:rsidP="00AF7E19">
      <w:pPr>
        <w:pStyle w:val="StyleListParagraph-BulletsLista11"/>
        <w:numPr>
          <w:ilvl w:val="0"/>
          <w:numId w:val="23"/>
        </w:numPr>
        <w:spacing w:after="160"/>
        <w:contextualSpacing/>
        <w:rPr>
          <w:lang w:eastAsia="ja-JP"/>
        </w:rPr>
      </w:pPr>
      <w:r w:rsidRPr="004450C3">
        <w:rPr>
          <w:lang w:eastAsia="ja-JP"/>
        </w:rPr>
        <w:t>For type 1 CSS with dedicated RRC configuration, type 3 CSS, and UE-SS, the monitoring occasion is within the first 3 OFDM symbols of a slot.</w:t>
      </w:r>
    </w:p>
    <w:p w14:paraId="5ACA4A6A" w14:textId="77777777" w:rsidR="00AF7E19" w:rsidRPr="004450C3" w:rsidRDefault="00AF7E19" w:rsidP="00AF7E19">
      <w:pPr>
        <w:pStyle w:val="StyleListParagraph-BulletsLista11"/>
        <w:numPr>
          <w:ilvl w:val="0"/>
          <w:numId w:val="23"/>
        </w:numPr>
        <w:spacing w:after="160"/>
        <w:contextualSpacing/>
        <w:rPr>
          <w:lang w:eastAsia="ja-JP"/>
        </w:rPr>
      </w:pPr>
      <w:r w:rsidRPr="004450C3">
        <w:rPr>
          <w:lang w:eastAsia="ja-JP"/>
        </w:rPr>
        <w:t xml:space="preserve">For </w:t>
      </w:r>
      <w:bookmarkStart w:id="3" w:name="_Hlk83913279"/>
      <w:r w:rsidRPr="004450C3">
        <w:rPr>
          <w:lang w:eastAsia="ja-JP"/>
        </w:rPr>
        <w:t>type 1 CSS without dedicated RRC configuration and for type 0, 0A, and 2 CSS</w:t>
      </w:r>
      <w:bookmarkEnd w:id="3"/>
      <w:r w:rsidRPr="004450C3">
        <w:rPr>
          <w:lang w:eastAsia="ja-JP"/>
        </w:rPr>
        <w:t>, the monitoring occasion can be any OFDM symbol(s) of a slot, with the monitoring occasions for any of Type 1- CSS without dedicated RRC configuration,</w:t>
      </w:r>
      <w:r>
        <w:rPr>
          <w:lang w:val="en-US" w:eastAsia="ja-JP"/>
        </w:rPr>
        <w:t xml:space="preserve"> </w:t>
      </w:r>
      <w:r w:rsidRPr="004450C3">
        <w:rPr>
          <w:lang w:eastAsia="ja-JP"/>
        </w:rPr>
        <w:t xml:space="preserve">Types 0, 0A, </w:t>
      </w:r>
      <w:r>
        <w:rPr>
          <w:lang w:val="en-US" w:eastAsia="ja-JP"/>
        </w:rPr>
        <w:t>and</w:t>
      </w:r>
      <w:r w:rsidRPr="004450C3">
        <w:rPr>
          <w:lang w:eastAsia="ja-JP"/>
        </w:rPr>
        <w:t xml:space="preserve"> 2 CSS configurations within </w:t>
      </w:r>
      <w:r>
        <w:rPr>
          <w:lang w:val="en-US" w:eastAsia="ja-JP"/>
        </w:rPr>
        <w:t xml:space="preserve">any </w:t>
      </w:r>
      <w:r w:rsidRPr="004450C3">
        <w:rPr>
          <w:lang w:eastAsia="ja-JP"/>
        </w:rPr>
        <w:t>single span of three consecutive OFDM symbols within a slot.</w:t>
      </w:r>
    </w:p>
    <w:p w14:paraId="1D959FD9" w14:textId="77777777" w:rsidR="00AF7E19" w:rsidRDefault="00AF7E19" w:rsidP="00AF7E19">
      <w:pPr>
        <w:jc w:val="both"/>
        <w:rPr>
          <w:lang w:val="en-GB" w:eastAsia="ja-JP"/>
        </w:rPr>
      </w:pPr>
      <w:r>
        <w:rPr>
          <w:lang w:val="en-GB" w:eastAsia="ja-JP"/>
        </w:rPr>
        <w:t xml:space="preserve">That is, the basic slot-based PDCCH monitoring capability for Rel-15 UEs within the first 3 OS are defined for operating in the CONNECTED mode. For UEs in initial access and in the IDLE mode, it is necessary for the UEs to support more flexible monitoring occasions </w:t>
      </w:r>
      <w:proofErr w:type="gramStart"/>
      <w:r>
        <w:rPr>
          <w:lang w:val="en-GB" w:eastAsia="ja-JP"/>
        </w:rPr>
        <w:t>in order for</w:t>
      </w:r>
      <w:proofErr w:type="gramEnd"/>
      <w:r>
        <w:rPr>
          <w:lang w:val="en-GB" w:eastAsia="ja-JP"/>
        </w:rPr>
        <w:t xml:space="preserve"> the overall NR system operation efficiency.</w:t>
      </w:r>
    </w:p>
    <w:p w14:paraId="051CDB92" w14:textId="7AD26039" w:rsidR="00AF7E19" w:rsidRDefault="00AF7E19" w:rsidP="00AF7E19">
      <w:pPr>
        <w:jc w:val="both"/>
        <w:rPr>
          <w:rFonts w:eastAsiaTheme="minorEastAsia"/>
          <w:lang w:val="en-GB" w:eastAsia="ja-JP"/>
        </w:rPr>
      </w:pPr>
      <w:r>
        <w:rPr>
          <w:lang w:val="en-GB" w:eastAsia="ja-JP"/>
        </w:rPr>
        <w:t xml:space="preserve">On a Rel-15 </w:t>
      </w:r>
      <w:proofErr w:type="spellStart"/>
      <w:r>
        <w:rPr>
          <w:lang w:val="en-GB" w:eastAsia="ja-JP"/>
        </w:rPr>
        <w:t>PCell</w:t>
      </w:r>
      <w:proofErr w:type="spellEnd"/>
      <w:r>
        <w:rPr>
          <w:lang w:val="en-GB" w:eastAsia="ja-JP"/>
        </w:rPr>
        <w:t>/</w:t>
      </w:r>
      <w:proofErr w:type="spellStart"/>
      <w:r>
        <w:rPr>
          <w:lang w:val="en-GB" w:eastAsia="ja-JP"/>
        </w:rPr>
        <w:t>PSCell</w:t>
      </w:r>
      <w:proofErr w:type="spellEnd"/>
      <w:r>
        <w:rPr>
          <w:lang w:val="en-GB" w:eastAsia="ja-JP"/>
        </w:rPr>
        <w:t xml:space="preserve">, the BD/CCE budget for a slot is appropriated for monitoring CSS located within the slot, with the remaining budget utilized for monitoring USS according to ascending USS index. That is, </w:t>
      </w:r>
      <w:proofErr w:type="gramStart"/>
      <w:r>
        <w:rPr>
          <w:lang w:val="en-GB" w:eastAsia="ja-JP"/>
        </w:rPr>
        <w:t>in order to</w:t>
      </w:r>
      <w:proofErr w:type="gramEnd"/>
      <w:r>
        <w:rPr>
          <w:lang w:val="en-GB" w:eastAsia="ja-JP"/>
        </w:rPr>
        <w:t xml:space="preserve"> receive CSS within a slot, some </w:t>
      </w:r>
      <w:r w:rsidR="00463C00">
        <w:rPr>
          <w:lang w:val="en-GB" w:eastAsia="ja-JP"/>
        </w:rPr>
        <w:t xml:space="preserve">or all </w:t>
      </w:r>
      <w:r>
        <w:rPr>
          <w:lang w:val="en-GB" w:eastAsia="ja-JP"/>
        </w:rPr>
        <w:t>USS of the same slot may be dropped. However, the presence of a CSS within a slot</w:t>
      </w:r>
      <w:r>
        <w:rPr>
          <w:rFonts w:eastAsiaTheme="minorEastAsia"/>
          <w:lang w:val="en-GB" w:eastAsia="ja-JP"/>
        </w:rPr>
        <w:t xml:space="preserve">, regardless of where such a CSS locates within the slot (particularly for </w:t>
      </w:r>
      <w:r w:rsidRPr="004450C3">
        <w:t>type 1 CSS without dedicated RRC configuration and for type 0, 0A, and 2 CSS</w:t>
      </w:r>
      <w:r>
        <w:rPr>
          <w:rFonts w:eastAsiaTheme="minorEastAsia"/>
          <w:lang w:val="en-GB" w:eastAsia="ja-JP"/>
        </w:rPr>
        <w:t xml:space="preserve">), has no </w:t>
      </w:r>
      <w:r w:rsidR="00EF3E6B">
        <w:rPr>
          <w:rFonts w:eastAsiaTheme="minorEastAsia"/>
          <w:lang w:val="en-GB"/>
        </w:rPr>
        <w:t xml:space="preserve">impact </w:t>
      </w:r>
      <w:r>
        <w:rPr>
          <w:rFonts w:eastAsiaTheme="minorEastAsia"/>
          <w:lang w:val="en-GB" w:eastAsia="ja-JP"/>
        </w:rPr>
        <w:t>on the BD/CCE budget for the next slot.</w:t>
      </w:r>
    </w:p>
    <w:p w14:paraId="3F201F65" w14:textId="4A3C262E" w:rsidR="00AF7E19" w:rsidRDefault="00AF7E19" w:rsidP="00AF7E19">
      <w:pPr>
        <w:pStyle w:val="Observation"/>
      </w:pPr>
      <w:bookmarkStart w:id="4" w:name="_Toc83990420"/>
      <w:r>
        <w:t xml:space="preserve">For Rel-15 slot-based PDCCH monitoring, </w:t>
      </w:r>
      <w:r>
        <w:rPr>
          <w:lang w:val="en-GB"/>
        </w:rPr>
        <w:t xml:space="preserve">the BD/CCE budget for a slot is </w:t>
      </w:r>
      <w:r w:rsidR="00771C84">
        <w:rPr>
          <w:lang w:val="en-GB"/>
        </w:rPr>
        <w:t>allocated</w:t>
      </w:r>
      <w:r>
        <w:rPr>
          <w:lang w:val="en-GB"/>
        </w:rPr>
        <w:t xml:space="preserve"> for monitoring CSS located within the slot, with the remaining budget utilized for monitoring USS according to ascending USS index</w:t>
      </w:r>
      <w:r>
        <w:t xml:space="preserve">. </w:t>
      </w:r>
      <w:r>
        <w:br/>
      </w:r>
      <w:r>
        <w:rPr>
          <w:lang w:val="en-GB"/>
        </w:rPr>
        <w:t xml:space="preserve">The presence of </w:t>
      </w:r>
      <w:r w:rsidR="00104108" w:rsidRPr="004450C3">
        <w:t>type 1 CSS without dedicated RRC configuration and for type 0, 0A, and 2 CSS</w:t>
      </w:r>
      <w:r w:rsidR="00104108">
        <w:rPr>
          <w:lang w:val="en-GB"/>
        </w:rPr>
        <w:t xml:space="preserve"> </w:t>
      </w:r>
      <w:r>
        <w:rPr>
          <w:lang w:val="en-GB"/>
        </w:rPr>
        <w:t>within a slot</w:t>
      </w:r>
      <w:r>
        <w:rPr>
          <w:rFonts w:eastAsiaTheme="minorEastAsia"/>
          <w:lang w:val="en-GB"/>
        </w:rPr>
        <w:t>, regardless of where such a CSS locates within the slot, has no impact on the BD/CCE budget for the next slot.</w:t>
      </w:r>
      <w:bookmarkEnd w:id="4"/>
    </w:p>
    <w:p w14:paraId="4E6137BD" w14:textId="77777777" w:rsidR="00AF7E19" w:rsidRDefault="00AF7E19" w:rsidP="00AF7E19">
      <w:pPr>
        <w:rPr>
          <w:lang w:val="en-GB" w:eastAsia="ja-JP"/>
        </w:rPr>
      </w:pPr>
    </w:p>
    <w:p w14:paraId="4869127A" w14:textId="3638A81B" w:rsidR="007C22B8" w:rsidRDefault="007C22B8" w:rsidP="007C22B8">
      <w:pPr>
        <w:jc w:val="both"/>
        <w:rPr>
          <w:lang w:val="en-GB" w:eastAsia="ja-JP"/>
        </w:rPr>
      </w:pPr>
      <w:r>
        <w:rPr>
          <w:lang w:val="en-GB" w:eastAsia="ja-JP"/>
        </w:rPr>
        <w:lastRenderedPageBreak/>
        <w:t xml:space="preserve">For Rel-17 support of 480/960 kHz SCS, RAN1 company inputs have indicated that </w:t>
      </w:r>
      <w:r w:rsidRPr="003A773E">
        <w:rPr>
          <w:lang w:val="en-GB" w:eastAsia="ja-JP"/>
        </w:rPr>
        <w:t xml:space="preserve">UE PDCCH processing capabilities per slot present challenges to maintain the same scheduling framework and flexibility as Rel-15 NR. </w:t>
      </w:r>
      <w:r>
        <w:rPr>
          <w:lang w:val="en-GB" w:eastAsia="ja-JP"/>
        </w:rPr>
        <w:t xml:space="preserve">In response, companies have proposed pooling the PDCCH processing </w:t>
      </w:r>
      <w:r w:rsidRPr="003A773E">
        <w:rPr>
          <w:lang w:val="en-GB" w:eastAsia="ja-JP"/>
        </w:rPr>
        <w:t>capabilities</w:t>
      </w:r>
      <w:r>
        <w:rPr>
          <w:lang w:val="en-GB" w:eastAsia="ja-JP"/>
        </w:rPr>
        <w:t xml:space="preserve"> over X slots to achieve </w:t>
      </w:r>
      <w:r w:rsidR="00293F52">
        <w:rPr>
          <w:lang w:val="en-GB" w:eastAsia="ja-JP"/>
        </w:rPr>
        <w:t xml:space="preserve">good </w:t>
      </w:r>
      <w:r>
        <w:rPr>
          <w:lang w:val="en-GB" w:eastAsia="ja-JP"/>
        </w:rPr>
        <w:t xml:space="preserve">PDCCH monitoring capability sufficient for efficient NR system operations at such large SCS. </w:t>
      </w:r>
    </w:p>
    <w:p w14:paraId="01F6BF33" w14:textId="53913608" w:rsidR="007C22B8" w:rsidRDefault="007C22B8" w:rsidP="007C22B8">
      <w:pPr>
        <w:jc w:val="both"/>
        <w:rPr>
          <w:lang w:val="en-GB" w:eastAsia="ja-JP"/>
        </w:rPr>
      </w:pPr>
      <w:r>
        <w:rPr>
          <w:lang w:val="en-GB" w:eastAsia="ja-JP"/>
        </w:rPr>
        <w:t xml:space="preserve">Several companies have proposed that </w:t>
      </w:r>
      <w:r w:rsidRPr="00AB5182">
        <w:rPr>
          <w:lang w:val="en-GB" w:eastAsia="ja-JP"/>
        </w:rPr>
        <w:t>multi-slot PDCCH monitoring</w:t>
      </w:r>
      <w:r>
        <w:rPr>
          <w:lang w:val="en-GB" w:eastAsia="ja-JP"/>
        </w:rPr>
        <w:t xml:space="preserve"> </w:t>
      </w:r>
      <w:r w:rsidR="00D05667">
        <w:rPr>
          <w:lang w:val="en-GB" w:eastAsia="ja-JP"/>
        </w:rPr>
        <w:t>should be</w:t>
      </w:r>
      <w:r>
        <w:rPr>
          <w:lang w:val="en-GB" w:eastAsia="ja-JP"/>
        </w:rPr>
        <w:t xml:space="preserve"> the </w:t>
      </w:r>
      <w:r w:rsidR="00D05667">
        <w:rPr>
          <w:lang w:val="en-GB" w:eastAsia="ja-JP"/>
        </w:rPr>
        <w:t>“</w:t>
      </w:r>
      <w:r>
        <w:rPr>
          <w:lang w:val="en-GB" w:eastAsia="ja-JP"/>
        </w:rPr>
        <w:t>default</w:t>
      </w:r>
      <w:r w:rsidR="00D05667">
        <w:rPr>
          <w:lang w:val="en-GB" w:eastAsia="ja-JP"/>
        </w:rPr>
        <w:t>”</w:t>
      </w:r>
      <w:r>
        <w:rPr>
          <w:lang w:val="en-GB" w:eastAsia="ja-JP"/>
        </w:rPr>
        <w:t xml:space="preserve"> capability and </w:t>
      </w:r>
      <w:r w:rsidR="00600C6A">
        <w:rPr>
          <w:lang w:val="en-GB" w:eastAsia="ja-JP"/>
        </w:rPr>
        <w:t>can be</w:t>
      </w:r>
      <w:r>
        <w:rPr>
          <w:lang w:val="en-GB" w:eastAsia="ja-JP"/>
        </w:rPr>
        <w:t xml:space="preserve"> </w:t>
      </w:r>
      <w:r w:rsidRPr="000D0BA2">
        <w:rPr>
          <w:lang w:val="en-GB" w:eastAsia="ja-JP"/>
        </w:rPr>
        <w:t xml:space="preserve">assumed </w:t>
      </w:r>
      <w:r>
        <w:rPr>
          <w:lang w:val="en-GB" w:eastAsia="ja-JP"/>
        </w:rPr>
        <w:t xml:space="preserve">even </w:t>
      </w:r>
      <w:r w:rsidRPr="000D0BA2">
        <w:rPr>
          <w:lang w:val="en-GB" w:eastAsia="ja-JP"/>
        </w:rPr>
        <w:t>during the idle/inactive mode operation and initial access procedure</w:t>
      </w:r>
      <w:r>
        <w:rPr>
          <w:lang w:val="en-GB" w:eastAsia="ja-JP"/>
        </w:rPr>
        <w:t xml:space="preserve"> operations with 480/960 kHz SCS</w:t>
      </w:r>
      <w:r w:rsidRPr="000D0BA2">
        <w:rPr>
          <w:lang w:val="en-GB" w:eastAsia="ja-JP"/>
        </w:rPr>
        <w:t>.</w:t>
      </w:r>
      <w:r>
        <w:rPr>
          <w:lang w:val="en-GB" w:eastAsia="ja-JP"/>
        </w:rPr>
        <w:t xml:space="preserve"> However, we believe further clarification regarding the following two aspects associated with </w:t>
      </w:r>
      <w:r w:rsidRPr="00AB5182">
        <w:rPr>
          <w:lang w:val="en-GB" w:eastAsia="ja-JP"/>
        </w:rPr>
        <w:t>multi-slot PDCCH monitoring</w:t>
      </w:r>
      <w:r>
        <w:rPr>
          <w:lang w:val="en-GB" w:eastAsia="ja-JP"/>
        </w:rPr>
        <w:t xml:space="preserve"> is necessary to converge on a </w:t>
      </w:r>
      <w:r w:rsidR="003E22F4">
        <w:rPr>
          <w:lang w:val="en-GB" w:eastAsia="ja-JP"/>
        </w:rPr>
        <w:t xml:space="preserve">reliable </w:t>
      </w:r>
      <w:r>
        <w:rPr>
          <w:lang w:val="en-GB" w:eastAsia="ja-JP"/>
        </w:rPr>
        <w:t xml:space="preserve">and </w:t>
      </w:r>
      <w:r w:rsidR="003E22F4">
        <w:rPr>
          <w:lang w:val="en-GB" w:eastAsia="ja-JP"/>
        </w:rPr>
        <w:t>efficient</w:t>
      </w:r>
      <w:r w:rsidR="006116CA">
        <w:rPr>
          <w:lang w:val="en-GB" w:eastAsia="ja-JP"/>
        </w:rPr>
        <w:t>/feasible</w:t>
      </w:r>
      <w:r w:rsidR="003E22F4">
        <w:rPr>
          <w:lang w:val="en-GB" w:eastAsia="ja-JP"/>
        </w:rPr>
        <w:t xml:space="preserve"> </w:t>
      </w:r>
      <w:r>
        <w:rPr>
          <w:lang w:val="en-GB" w:eastAsia="ja-JP"/>
        </w:rPr>
        <w:t xml:space="preserve">design of a default mode of </w:t>
      </w:r>
      <w:r w:rsidR="00604B90" w:rsidRPr="00AB5182">
        <w:rPr>
          <w:lang w:val="en-GB" w:eastAsia="ja-JP"/>
        </w:rPr>
        <w:t>multi-slot PDCCH monitoring</w:t>
      </w:r>
      <w:r w:rsidR="00604B90">
        <w:rPr>
          <w:lang w:val="en-GB" w:eastAsia="ja-JP"/>
        </w:rPr>
        <w:t xml:space="preserve"> </w:t>
      </w:r>
      <w:r>
        <w:rPr>
          <w:lang w:val="en-GB" w:eastAsia="ja-JP"/>
        </w:rPr>
        <w:t>operations for 480/960 kHz SCS:</w:t>
      </w:r>
    </w:p>
    <w:p w14:paraId="7211A8B8" w14:textId="77777777" w:rsidR="007C22B8" w:rsidRPr="00DB189B" w:rsidRDefault="007C22B8" w:rsidP="00396A93">
      <w:pPr>
        <w:pStyle w:val="StyleListParagraph-BulletsLista11"/>
        <w:numPr>
          <w:ilvl w:val="0"/>
          <w:numId w:val="38"/>
        </w:numPr>
        <w:spacing w:after="160"/>
        <w:contextualSpacing/>
        <w:rPr>
          <w:lang w:eastAsia="ja-JP"/>
        </w:rPr>
      </w:pPr>
      <w:r w:rsidRPr="00DB189B">
        <w:rPr>
          <w:lang w:eastAsia="ja-JP"/>
        </w:rPr>
        <w:t>The pooled BD/CCE budget per X-slot window</w:t>
      </w:r>
    </w:p>
    <w:p w14:paraId="2A828698" w14:textId="6BC11FDC" w:rsidR="007C22B8" w:rsidRPr="00DB189B" w:rsidRDefault="007C22B8" w:rsidP="00396A93">
      <w:pPr>
        <w:pStyle w:val="StyleListParagraph-BulletsLista11"/>
        <w:numPr>
          <w:ilvl w:val="0"/>
          <w:numId w:val="38"/>
        </w:numPr>
        <w:spacing w:after="160"/>
        <w:contextualSpacing/>
        <w:rPr>
          <w:lang w:eastAsia="ja-JP"/>
        </w:rPr>
      </w:pPr>
      <w:r w:rsidRPr="00DB189B">
        <w:rPr>
          <w:lang w:eastAsia="ja-JP"/>
        </w:rPr>
        <w:t xml:space="preserve">The restriction of monitoring occasions within </w:t>
      </w:r>
      <w:r w:rsidR="00AE73B8">
        <w:rPr>
          <w:lang w:val="en-US" w:eastAsia="ja-JP"/>
        </w:rPr>
        <w:t xml:space="preserve">Y slots/symbols per </w:t>
      </w:r>
      <w:r w:rsidR="00AE73B8" w:rsidRPr="00DB189B">
        <w:rPr>
          <w:lang w:eastAsia="ja-JP"/>
        </w:rPr>
        <w:t>X-slot window</w:t>
      </w:r>
    </w:p>
    <w:p w14:paraId="6C72476A" w14:textId="0CD524B0" w:rsidR="007C22B8" w:rsidRDefault="007C22B8" w:rsidP="007C22B8">
      <w:pPr>
        <w:jc w:val="both"/>
        <w:rPr>
          <w:lang w:val="en-GB" w:eastAsia="ja-JP"/>
        </w:rPr>
      </w:pPr>
      <w:r>
        <w:rPr>
          <w:lang w:val="en-GB" w:eastAsia="ja-JP"/>
        </w:rPr>
        <w:t>That is, the discussion in RAN1 using the (X,</w:t>
      </w:r>
      <w:r w:rsidR="000C56B0">
        <w:rPr>
          <w:lang w:val="en-GB" w:eastAsia="ja-JP"/>
        </w:rPr>
        <w:t xml:space="preserve"> </w:t>
      </w:r>
      <w:r>
        <w:rPr>
          <w:lang w:val="en-GB" w:eastAsia="ja-JP"/>
        </w:rPr>
        <w:t xml:space="preserve">Y) terminology so far has not made clear distinction to </w:t>
      </w:r>
    </w:p>
    <w:p w14:paraId="772A914F" w14:textId="68065F3E" w:rsidR="007C22B8" w:rsidRPr="00DF6827" w:rsidRDefault="007E7A7D" w:rsidP="00396A93">
      <w:pPr>
        <w:pStyle w:val="StyleListParagraph-BulletsLista11"/>
        <w:numPr>
          <w:ilvl w:val="0"/>
          <w:numId w:val="39"/>
        </w:numPr>
        <w:spacing w:after="160"/>
        <w:contextualSpacing/>
        <w:rPr>
          <w:lang w:eastAsia="ja-JP"/>
        </w:rPr>
      </w:pPr>
      <w:r>
        <w:rPr>
          <w:lang w:val="en-GB" w:eastAsia="ja-JP"/>
        </w:rPr>
        <w:t>Whether t</w:t>
      </w:r>
      <w:r w:rsidR="007C22B8" w:rsidRPr="00DB189B">
        <w:rPr>
          <w:lang w:eastAsia="ja-JP"/>
        </w:rPr>
        <w:t>he pooled BD/CCE budget per X-slot window</w:t>
      </w:r>
      <w:r w:rsidR="007C22B8">
        <w:rPr>
          <w:lang w:val="en-US" w:eastAsia="ja-JP"/>
        </w:rPr>
        <w:t xml:space="preserve"> is applicable to (1) </w:t>
      </w:r>
      <w:r w:rsidR="007C22B8" w:rsidRPr="004450C3">
        <w:rPr>
          <w:lang w:eastAsia="ja-JP"/>
        </w:rPr>
        <w:t>type 1 CSS with dedicated RRC configuration, type 3 CSS, and UE-SS</w:t>
      </w:r>
      <w:r w:rsidR="007C22B8">
        <w:rPr>
          <w:lang w:val="en-US" w:eastAsia="ja-JP"/>
        </w:rPr>
        <w:t xml:space="preserve">; or (2) </w:t>
      </w:r>
      <w:r w:rsidR="007C22B8" w:rsidRPr="004450C3">
        <w:rPr>
          <w:lang w:eastAsia="ja-JP"/>
        </w:rPr>
        <w:t>type 1 CSS without dedicated RRC configuration and for type 0, 0A, and 2 CSS</w:t>
      </w:r>
      <w:r w:rsidR="007C22B8">
        <w:rPr>
          <w:lang w:val="en-US" w:eastAsia="ja-JP"/>
        </w:rPr>
        <w:t>; or (3) both</w:t>
      </w:r>
      <w:r>
        <w:rPr>
          <w:lang w:val="en-US" w:eastAsia="ja-JP"/>
        </w:rPr>
        <w:t>?</w:t>
      </w:r>
    </w:p>
    <w:p w14:paraId="371581CE" w14:textId="665BD0A5" w:rsidR="007C22B8" w:rsidRPr="00DB189B" w:rsidRDefault="007E7A7D" w:rsidP="00396A93">
      <w:pPr>
        <w:pStyle w:val="StyleListParagraph-BulletsLista11"/>
        <w:numPr>
          <w:ilvl w:val="0"/>
          <w:numId w:val="39"/>
        </w:numPr>
        <w:spacing w:after="160"/>
        <w:contextualSpacing/>
        <w:rPr>
          <w:lang w:eastAsia="ja-JP"/>
        </w:rPr>
      </w:pPr>
      <w:r>
        <w:rPr>
          <w:lang w:val="en-GB" w:eastAsia="ja-JP"/>
        </w:rPr>
        <w:t xml:space="preserve">Whether the </w:t>
      </w:r>
      <w:r w:rsidR="007C22B8" w:rsidRPr="00DB189B">
        <w:rPr>
          <w:lang w:eastAsia="ja-JP"/>
        </w:rPr>
        <w:t xml:space="preserve">restriction of monitoring occasions within </w:t>
      </w:r>
      <w:r w:rsidR="007C22B8">
        <w:rPr>
          <w:lang w:val="en-US" w:eastAsia="ja-JP"/>
        </w:rPr>
        <w:t>Y slots</w:t>
      </w:r>
      <w:r w:rsidR="00D14DE3">
        <w:rPr>
          <w:lang w:val="en-US" w:eastAsia="ja-JP"/>
        </w:rPr>
        <w:t>/symbols</w:t>
      </w:r>
      <w:r w:rsidR="007C22B8">
        <w:rPr>
          <w:lang w:val="en-US" w:eastAsia="ja-JP"/>
        </w:rPr>
        <w:t xml:space="preserve"> per </w:t>
      </w:r>
      <w:r w:rsidR="007C22B8" w:rsidRPr="00DB189B">
        <w:rPr>
          <w:lang w:eastAsia="ja-JP"/>
        </w:rPr>
        <w:t>X-slot window</w:t>
      </w:r>
      <w:r w:rsidR="007C22B8">
        <w:rPr>
          <w:lang w:val="en-US" w:eastAsia="ja-JP"/>
        </w:rPr>
        <w:t xml:space="preserve"> is applicable to (1) </w:t>
      </w:r>
      <w:r w:rsidR="007C22B8" w:rsidRPr="004450C3">
        <w:rPr>
          <w:lang w:eastAsia="ja-JP"/>
        </w:rPr>
        <w:t>type 1 CSS with dedicated RRC configuration, type 3 CSS, and UE-SS</w:t>
      </w:r>
      <w:r w:rsidR="007C22B8">
        <w:rPr>
          <w:lang w:val="en-US" w:eastAsia="ja-JP"/>
        </w:rPr>
        <w:t xml:space="preserve">; or (2) </w:t>
      </w:r>
      <w:r w:rsidR="007C22B8" w:rsidRPr="004450C3">
        <w:rPr>
          <w:lang w:eastAsia="ja-JP"/>
        </w:rPr>
        <w:t>type 1 CSS without dedicated RRC configuration and for type 0, 0A, and 2 CSS</w:t>
      </w:r>
      <w:r w:rsidR="007C22B8">
        <w:rPr>
          <w:lang w:val="en-US" w:eastAsia="ja-JP"/>
        </w:rPr>
        <w:t>; or (3) both</w:t>
      </w:r>
      <w:r>
        <w:rPr>
          <w:lang w:val="en-US" w:eastAsia="ja-JP"/>
        </w:rPr>
        <w:t>?</w:t>
      </w:r>
    </w:p>
    <w:p w14:paraId="5124CD3B" w14:textId="77777777" w:rsidR="00B74259" w:rsidRDefault="00B74259" w:rsidP="007C22B8">
      <w:pPr>
        <w:jc w:val="both"/>
        <w:rPr>
          <w:lang w:val="en-GB" w:eastAsia="ja-JP"/>
        </w:rPr>
      </w:pPr>
    </w:p>
    <w:p w14:paraId="06E6EE94" w14:textId="2B224F4B" w:rsidR="00126728" w:rsidRDefault="00EB487D" w:rsidP="007C22B8">
      <w:pPr>
        <w:jc w:val="both"/>
        <w:rPr>
          <w:lang w:val="en-GB" w:eastAsia="ja-JP"/>
        </w:rPr>
      </w:pPr>
      <w:r w:rsidRPr="002B1347">
        <w:rPr>
          <w:lang w:val="en-GB" w:eastAsia="ja-JP"/>
        </w:rPr>
        <w:t xml:space="preserve">In </w:t>
      </w:r>
      <w:r>
        <w:rPr>
          <w:lang w:val="en-GB" w:eastAsia="ja-JP"/>
        </w:rPr>
        <w:t xml:space="preserve">the </w:t>
      </w:r>
      <w:r w:rsidRPr="002B1347">
        <w:rPr>
          <w:lang w:val="en-GB" w:eastAsia="ja-JP"/>
        </w:rPr>
        <w:t xml:space="preserve">Rel-15 </w:t>
      </w:r>
      <w:r>
        <w:rPr>
          <w:lang w:val="en-GB" w:eastAsia="ja-JP"/>
        </w:rPr>
        <w:t xml:space="preserve">slot-based PDCCH monitoring capability, </w:t>
      </w:r>
      <w:r w:rsidR="00A861D9">
        <w:rPr>
          <w:lang w:val="en-GB" w:eastAsia="ja-JP"/>
        </w:rPr>
        <w:t xml:space="preserve">the </w:t>
      </w:r>
      <w:r w:rsidR="00A861D9" w:rsidRPr="00FC58BB">
        <w:rPr>
          <w:lang w:val="en-GB" w:eastAsia="ja-JP"/>
        </w:rPr>
        <w:t>BD/CCE budget</w:t>
      </w:r>
      <w:r w:rsidR="00A861D9">
        <w:rPr>
          <w:lang w:val="en-GB" w:eastAsia="ja-JP"/>
        </w:rPr>
        <w:t xml:space="preserve"> is shared between </w:t>
      </w:r>
      <w:r w:rsidR="009A285A">
        <w:rPr>
          <w:lang w:eastAsia="ja-JP"/>
        </w:rPr>
        <w:t xml:space="preserve">(1) </w:t>
      </w:r>
      <w:r w:rsidR="009A285A" w:rsidRPr="004450C3">
        <w:rPr>
          <w:lang w:eastAsia="ja-JP"/>
        </w:rPr>
        <w:t>type 1 CSS with dedicated RRC configuration, type 3 CSS, and UE-SS</w:t>
      </w:r>
      <w:r w:rsidR="009A285A">
        <w:rPr>
          <w:lang w:eastAsia="ja-JP"/>
        </w:rPr>
        <w:t xml:space="preserve">; and (2) </w:t>
      </w:r>
      <w:r w:rsidR="009A285A" w:rsidRPr="004450C3">
        <w:rPr>
          <w:lang w:eastAsia="ja-JP"/>
        </w:rPr>
        <w:t>type 1 CSS without dedicated RRC configuration and for type 0, 0A, and 2 CSS</w:t>
      </w:r>
      <w:r w:rsidR="00657725">
        <w:rPr>
          <w:lang w:eastAsia="ja-JP"/>
        </w:rPr>
        <w:t xml:space="preserve"> as discussed in the above</w:t>
      </w:r>
      <w:r w:rsidR="009A285A">
        <w:rPr>
          <w:lang w:eastAsia="ja-JP"/>
        </w:rPr>
        <w:t xml:space="preserve">. To address the processing </w:t>
      </w:r>
      <w:r w:rsidR="006270FB">
        <w:rPr>
          <w:lang w:eastAsia="ja-JP"/>
        </w:rPr>
        <w:t xml:space="preserve">capability challenges of </w:t>
      </w:r>
      <w:r w:rsidR="006270FB">
        <w:rPr>
          <w:lang w:val="en-GB" w:eastAsia="ja-JP"/>
        </w:rPr>
        <w:t xml:space="preserve">Rel-17 support for 480/960 kHz SCS, </w:t>
      </w:r>
      <w:r w:rsidR="005F272C">
        <w:rPr>
          <w:lang w:val="en-GB" w:eastAsia="ja-JP"/>
        </w:rPr>
        <w:t xml:space="preserve">we agree that the pooled </w:t>
      </w:r>
      <w:r w:rsidR="005F272C" w:rsidRPr="00FC58BB">
        <w:rPr>
          <w:lang w:val="en-GB" w:eastAsia="ja-JP"/>
        </w:rPr>
        <w:t>BD/CCE budget per X-slot window</w:t>
      </w:r>
      <w:r w:rsidR="005F272C">
        <w:rPr>
          <w:lang w:val="en-GB" w:eastAsia="ja-JP"/>
        </w:rPr>
        <w:t xml:space="preserve"> is the default PDCCH monitoring </w:t>
      </w:r>
      <w:r w:rsidR="005F272C" w:rsidRPr="000870B8">
        <w:rPr>
          <w:u w:val="single"/>
          <w:lang w:val="en-GB" w:eastAsia="ja-JP"/>
        </w:rPr>
        <w:t>budget</w:t>
      </w:r>
      <w:r w:rsidR="005F272C">
        <w:rPr>
          <w:lang w:val="en-GB" w:eastAsia="ja-JP"/>
        </w:rPr>
        <w:t xml:space="preserve"> per X slots for UE operating with 480/960 kHz SCS to monitor both types of SS.</w:t>
      </w:r>
    </w:p>
    <w:p w14:paraId="6AC72D19" w14:textId="5A9A8AD6" w:rsidR="00E855E2" w:rsidRPr="00A15203" w:rsidRDefault="00E855E2" w:rsidP="00E855E2">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5" w:name="_Toc83990560"/>
      <w:r w:rsidRPr="00FC58BB">
        <w:rPr>
          <w:lang w:val="en-GB" w:eastAsia="ja-JP"/>
        </w:rPr>
        <w:t>The BD/CCE budget per X-slot window</w:t>
      </w:r>
      <w:r>
        <w:rPr>
          <w:lang w:val="en-GB" w:eastAsia="ja-JP"/>
        </w:rPr>
        <w:t xml:space="preserve"> is the default PDCCH monitoring budget per X</w:t>
      </w:r>
      <w:r w:rsidR="00667747">
        <w:rPr>
          <w:lang w:val="en-GB" w:eastAsia="ja-JP"/>
        </w:rPr>
        <w:t>=4</w:t>
      </w:r>
      <w:r>
        <w:rPr>
          <w:lang w:val="en-GB" w:eastAsia="ja-JP"/>
        </w:rPr>
        <w:t xml:space="preserve"> slots for </w:t>
      </w:r>
      <w:r w:rsidR="001D045C">
        <w:rPr>
          <w:lang w:val="en-GB" w:eastAsia="ja-JP"/>
        </w:rPr>
        <w:t xml:space="preserve">a </w:t>
      </w:r>
      <w:r>
        <w:rPr>
          <w:lang w:val="en-GB" w:eastAsia="ja-JP"/>
        </w:rPr>
        <w:t>UE operating with 480 kHz SCS</w:t>
      </w:r>
      <w:r w:rsidR="00667747">
        <w:rPr>
          <w:lang w:val="en-GB" w:eastAsia="ja-JP"/>
        </w:rPr>
        <w:t xml:space="preserve"> and per X=8 slots for </w:t>
      </w:r>
      <w:r w:rsidR="001D045C">
        <w:rPr>
          <w:lang w:val="en-GB" w:eastAsia="ja-JP"/>
        </w:rPr>
        <w:t xml:space="preserve">a </w:t>
      </w:r>
      <w:r w:rsidR="00667747">
        <w:rPr>
          <w:lang w:val="en-GB" w:eastAsia="ja-JP"/>
        </w:rPr>
        <w:t>UE operating with 960 kHz SCS.</w:t>
      </w:r>
      <w:r w:rsidR="00C52375">
        <w:rPr>
          <w:lang w:val="en-GB" w:eastAsia="ja-JP"/>
        </w:rPr>
        <w:br/>
        <w:t>That is, t</w:t>
      </w:r>
      <w:r>
        <w:rPr>
          <w:lang w:val="en-GB" w:eastAsia="ja-JP"/>
        </w:rPr>
        <w:t xml:space="preserve">he PDCCH monitoring budget per X slots is </w:t>
      </w:r>
      <w:r w:rsidR="0002429E">
        <w:rPr>
          <w:lang w:val="en-GB" w:eastAsia="ja-JP"/>
        </w:rPr>
        <w:t xml:space="preserve">the shared </w:t>
      </w:r>
      <w:r w:rsidR="00A20400">
        <w:rPr>
          <w:lang w:val="en-GB" w:eastAsia="ja-JP"/>
        </w:rPr>
        <w:t xml:space="preserve">resource for monitoring </w:t>
      </w:r>
      <w:r>
        <w:rPr>
          <w:lang w:val="en-GB" w:eastAsia="ja-JP"/>
        </w:rPr>
        <w:t xml:space="preserve">both </w:t>
      </w:r>
      <w:r>
        <w:rPr>
          <w:lang w:eastAsia="ja-JP"/>
        </w:rPr>
        <w:t xml:space="preserve">(1) </w:t>
      </w:r>
      <w:r w:rsidRPr="004450C3">
        <w:rPr>
          <w:lang w:eastAsia="ja-JP"/>
        </w:rPr>
        <w:t>type 1 CSS with dedicated RRC configuration, type 3 CSS, and UE-SS</w:t>
      </w:r>
      <w:r>
        <w:rPr>
          <w:lang w:eastAsia="ja-JP"/>
        </w:rPr>
        <w:t xml:space="preserve">; and (2) </w:t>
      </w:r>
      <w:r w:rsidRPr="004450C3">
        <w:rPr>
          <w:lang w:eastAsia="ja-JP"/>
        </w:rPr>
        <w:t>type 1 CSS without dedicated RRC configuration and for type 0, 0A, and 2 CSS</w:t>
      </w:r>
      <w:r>
        <w:rPr>
          <w:lang w:eastAsia="ja-JP"/>
        </w:rPr>
        <w:t>.</w:t>
      </w:r>
      <w:bookmarkEnd w:id="5"/>
    </w:p>
    <w:p w14:paraId="3F2ADF59" w14:textId="1B8747E0" w:rsidR="00E855E2" w:rsidRDefault="00E855E2" w:rsidP="007C22B8">
      <w:pPr>
        <w:jc w:val="both"/>
        <w:rPr>
          <w:lang w:val="en-GB" w:eastAsia="ja-JP"/>
        </w:rPr>
      </w:pPr>
    </w:p>
    <w:p w14:paraId="3C3C6430" w14:textId="61858AE7" w:rsidR="007F1458" w:rsidRDefault="00265CA5" w:rsidP="007C22B8">
      <w:pPr>
        <w:jc w:val="both"/>
        <w:rPr>
          <w:lang w:val="en-GB" w:eastAsia="ja-JP"/>
        </w:rPr>
      </w:pPr>
      <w:r w:rsidRPr="00265CA5">
        <w:rPr>
          <w:lang w:val="en-GB" w:eastAsia="ja-JP"/>
        </w:rPr>
        <w:t>For UEs operating in CONNECTED mode on a serving cell with 480/960 kHz SCS, multi-slot PDCCH monitoring has been discussed in Rel-17 for reducing UE processing complexity and power efficiency</w:t>
      </w:r>
      <w:r>
        <w:rPr>
          <w:lang w:val="en-GB" w:eastAsia="ja-JP"/>
        </w:rPr>
        <w:t>. It is proposed</w:t>
      </w:r>
    </w:p>
    <w:p w14:paraId="7726A9B5" w14:textId="5C44FB64" w:rsidR="007F1458" w:rsidRPr="00A15203" w:rsidRDefault="007F1458" w:rsidP="007F1458">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6" w:name="_Toc83990561"/>
      <w:r>
        <w:rPr>
          <w:lang w:val="en-GB" w:eastAsia="ja-JP"/>
        </w:rPr>
        <w:t xml:space="preserve">For </w:t>
      </w:r>
      <w:r w:rsidRPr="00522D94">
        <w:rPr>
          <w:lang w:val="en-GB" w:eastAsia="ja-JP"/>
        </w:rPr>
        <w:t>operation with 480/960 kHz SCS</w:t>
      </w:r>
      <w:r>
        <w:rPr>
          <w:lang w:val="en-GB" w:eastAsia="ja-JP"/>
        </w:rPr>
        <w:t xml:space="preserve">, the </w:t>
      </w:r>
      <w:r w:rsidRPr="00DB189B">
        <w:rPr>
          <w:lang w:val="x-none" w:eastAsia="ja-JP"/>
        </w:rPr>
        <w:t xml:space="preserve">restriction of monitoring occasions within </w:t>
      </w:r>
      <w:r>
        <w:rPr>
          <w:lang w:eastAsia="ja-JP"/>
        </w:rPr>
        <w:t xml:space="preserve">Y slots/symbols per </w:t>
      </w:r>
      <w:r w:rsidRPr="00DB189B">
        <w:rPr>
          <w:lang w:val="x-none" w:eastAsia="ja-JP"/>
        </w:rPr>
        <w:t>X-slot window</w:t>
      </w:r>
      <w:r>
        <w:rPr>
          <w:lang w:eastAsia="ja-JP"/>
        </w:rPr>
        <w:t xml:space="preserve"> is applicable to </w:t>
      </w:r>
      <w:r w:rsidRPr="004450C3">
        <w:rPr>
          <w:lang w:eastAsia="ja-JP"/>
        </w:rPr>
        <w:t>type 1 CSS with dedicated RRC configuration, type 3 CSS, and UE-SS</w:t>
      </w:r>
      <w:r w:rsidR="0091406B">
        <w:rPr>
          <w:lang w:eastAsia="ja-JP"/>
        </w:rPr>
        <w:t>.</w:t>
      </w:r>
      <w:bookmarkEnd w:id="6"/>
    </w:p>
    <w:p w14:paraId="21497E84" w14:textId="042B2AD5" w:rsidR="007F1458" w:rsidRDefault="007F1458" w:rsidP="007F1458">
      <w:pPr>
        <w:jc w:val="both"/>
        <w:rPr>
          <w:lang w:eastAsia="ja-JP"/>
        </w:rPr>
      </w:pPr>
    </w:p>
    <w:p w14:paraId="0CCE7169" w14:textId="45FD5141" w:rsidR="00293DBE" w:rsidRDefault="00293DBE" w:rsidP="00293DBE">
      <w:pPr>
        <w:jc w:val="both"/>
        <w:rPr>
          <w:lang w:val="en-GB" w:eastAsia="ja-JP"/>
        </w:rPr>
      </w:pPr>
      <w:r>
        <w:rPr>
          <w:lang w:val="en-GB" w:eastAsia="ja-JP"/>
        </w:rPr>
        <w:t xml:space="preserve">Regarding the </w:t>
      </w:r>
      <w:r w:rsidR="009025BE" w:rsidRPr="00DB189B">
        <w:rPr>
          <w:lang w:val="x-none" w:eastAsia="ja-JP"/>
        </w:rPr>
        <w:t xml:space="preserve">restriction of monitoring occasions </w:t>
      </w:r>
      <w:r w:rsidR="009025BE">
        <w:rPr>
          <w:lang w:eastAsia="ja-JP"/>
        </w:rPr>
        <w:t xml:space="preserve">for </w:t>
      </w:r>
      <w:r w:rsidRPr="00021525">
        <w:rPr>
          <w:lang w:val="en-GB" w:eastAsia="ja-JP"/>
        </w:rPr>
        <w:t>type 1 CSS without dedicated RRC configuration and for type 0, 0A, and 2 CSS</w:t>
      </w:r>
      <w:r>
        <w:rPr>
          <w:lang w:val="en-GB" w:eastAsia="ja-JP"/>
        </w:rPr>
        <w:t>, two options can be considered</w:t>
      </w:r>
      <w:r w:rsidR="005A5012">
        <w:rPr>
          <w:lang w:val="en-GB" w:eastAsia="ja-JP"/>
        </w:rPr>
        <w:t>.</w:t>
      </w:r>
    </w:p>
    <w:p w14:paraId="20162501" w14:textId="312AE913" w:rsidR="005A5012" w:rsidRPr="001B203A" w:rsidRDefault="005A5012" w:rsidP="007F1458">
      <w:pPr>
        <w:jc w:val="both"/>
        <w:rPr>
          <w:b/>
          <w:bCs/>
          <w:u w:val="single"/>
          <w:lang w:eastAsia="ja-JP"/>
        </w:rPr>
      </w:pPr>
      <w:r w:rsidRPr="001B203A">
        <w:rPr>
          <w:b/>
          <w:bCs/>
          <w:u w:val="single"/>
          <w:lang w:eastAsia="ja-JP"/>
        </w:rPr>
        <w:t>Option 1</w:t>
      </w:r>
    </w:p>
    <w:p w14:paraId="474659CF" w14:textId="37FE95F1" w:rsidR="004E4CEA" w:rsidRPr="004E4CEA" w:rsidRDefault="00EB70A4" w:rsidP="004E4CEA">
      <w:pPr>
        <w:jc w:val="both"/>
        <w:rPr>
          <w:lang w:val="en-GB" w:eastAsia="ja-JP"/>
        </w:rPr>
      </w:pPr>
      <w:r>
        <w:rPr>
          <w:lang w:val="en-GB" w:eastAsia="ja-JP"/>
        </w:rPr>
        <w:t xml:space="preserve">One option is </w:t>
      </w:r>
      <w:r w:rsidR="002A4FB4">
        <w:rPr>
          <w:lang w:val="en-GB" w:eastAsia="ja-JP"/>
        </w:rPr>
        <w:t xml:space="preserve">that </w:t>
      </w:r>
      <w:r w:rsidR="0097567F">
        <w:rPr>
          <w:lang w:val="en-GB" w:eastAsia="ja-JP"/>
        </w:rPr>
        <w:t xml:space="preserve">the </w:t>
      </w:r>
      <w:r w:rsidR="0097567F" w:rsidRPr="00DB189B">
        <w:rPr>
          <w:lang w:val="x-none" w:eastAsia="ja-JP"/>
        </w:rPr>
        <w:t xml:space="preserve">restriction of monitoring occasions within </w:t>
      </w:r>
      <w:r w:rsidR="0097567F">
        <w:rPr>
          <w:lang w:eastAsia="ja-JP"/>
        </w:rPr>
        <w:t xml:space="preserve">Y slots/symbols per </w:t>
      </w:r>
      <w:r w:rsidR="0097567F" w:rsidRPr="00DB189B">
        <w:rPr>
          <w:lang w:val="x-none" w:eastAsia="ja-JP"/>
        </w:rPr>
        <w:t>X-slot window</w:t>
      </w:r>
      <w:r w:rsidR="0097567F">
        <w:rPr>
          <w:lang w:eastAsia="ja-JP"/>
        </w:rPr>
        <w:t xml:space="preserve"> </w:t>
      </w:r>
      <w:r w:rsidR="004E4CEA" w:rsidRPr="004E4CEA">
        <w:rPr>
          <w:lang w:val="en-GB" w:eastAsia="ja-JP"/>
        </w:rPr>
        <w:t xml:space="preserve">is also applicable to UEs in initial access or in IDLE mode. This view leads to the claims that the existing initial access procedures and IDLE mode operations are not compatible with multi-slot PDCCH monitoring. For instance, the Type0-PDCCH monitoring occasions are tied to the corresponding SSB/PBCH block index. Per TS 38.213, the UE monitors the Type0-PDCCH in two consecutive slots, </w:t>
      </w:r>
      <w:r w:rsidR="004E4CEA" w:rsidRPr="004E4CEA">
        <w:rPr>
          <w:lang w:eastAsia="ja-JP"/>
        </w:rPr>
        <w:t xml:space="preserve">slot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0</m:t>
            </m:r>
          </m:sub>
        </m:sSub>
      </m:oMath>
      <w:r w:rsidR="004E4CEA" w:rsidRPr="004E4CEA">
        <w:rPr>
          <w:lang w:eastAsia="ja-JP"/>
        </w:rPr>
        <w:t xml:space="preserve"> and slot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0</m:t>
            </m:r>
          </m:sub>
        </m:sSub>
        <m:r>
          <w:rPr>
            <w:rFonts w:ascii="Cambria Math" w:hAnsi="Cambria Math"/>
            <w:lang w:eastAsia="ja-JP"/>
          </w:rPr>
          <m:t>+1</m:t>
        </m:r>
      </m:oMath>
      <w:r w:rsidR="004E4CEA" w:rsidRPr="004E4CEA">
        <w:rPr>
          <w:lang w:val="en-GB" w:eastAsia="ja-JP"/>
        </w:rPr>
        <w:t xml:space="preserve">. </w:t>
      </w:r>
      <w:r w:rsidR="00246EFE">
        <w:rPr>
          <w:lang w:val="en-GB" w:eastAsia="ja-JP"/>
        </w:rPr>
        <w:t xml:space="preserve">Furthermore, depending on the Type0-PDCCH monitoring configuration signalled by MIB, the monitoring occasion(s) within a slot can </w:t>
      </w:r>
      <w:r w:rsidR="00246EFE">
        <w:rPr>
          <w:lang w:val="en-GB" w:eastAsia="ja-JP"/>
        </w:rPr>
        <w:lastRenderedPageBreak/>
        <w:t xml:space="preserve">be either near the beginning or near the middle of the slot dependent on the SSB index. </w:t>
      </w:r>
      <w:r w:rsidR="004E4CEA" w:rsidRPr="004E4CEA">
        <w:rPr>
          <w:lang w:val="en-GB" w:eastAsia="ja-JP"/>
        </w:rPr>
        <w:t xml:space="preserve">Some </w:t>
      </w:r>
      <w:r w:rsidR="00E775C4">
        <w:rPr>
          <w:lang w:val="en-GB" w:eastAsia="ja-JP"/>
        </w:rPr>
        <w:t>sources</w:t>
      </w:r>
      <w:r w:rsidR="00E775C4" w:rsidRPr="004E4CEA">
        <w:rPr>
          <w:lang w:val="en-GB" w:eastAsia="ja-JP"/>
        </w:rPr>
        <w:t xml:space="preserve"> </w:t>
      </w:r>
      <w:r w:rsidR="004E4CEA" w:rsidRPr="004E4CEA">
        <w:rPr>
          <w:lang w:val="en-GB" w:eastAsia="ja-JP"/>
        </w:rPr>
        <w:t>proposed to extensively modify the initial access</w:t>
      </w:r>
      <w:r w:rsidR="00C63C83">
        <w:rPr>
          <w:lang w:val="en-GB" w:eastAsia="ja-JP"/>
        </w:rPr>
        <w:t xml:space="preserve"> operations</w:t>
      </w:r>
      <w:r w:rsidR="004E4CEA" w:rsidRPr="004E4CEA">
        <w:rPr>
          <w:lang w:val="en-GB" w:eastAsia="ja-JP"/>
        </w:rPr>
        <w:t>:</w:t>
      </w:r>
    </w:p>
    <w:p w14:paraId="70F03383" w14:textId="77777777" w:rsidR="004E4CEA" w:rsidRPr="004E4CEA" w:rsidRDefault="004E4CEA" w:rsidP="00C16281">
      <w:pPr>
        <w:pStyle w:val="StyleListParagraph-BulletsLista11"/>
        <w:numPr>
          <w:ilvl w:val="0"/>
          <w:numId w:val="23"/>
        </w:numPr>
        <w:spacing w:after="160"/>
        <w:contextualSpacing/>
        <w:rPr>
          <w:lang w:eastAsia="ja-JP"/>
        </w:rPr>
      </w:pPr>
      <w:r w:rsidRPr="004E4CEA">
        <w:rPr>
          <w:lang w:eastAsia="ja-JP"/>
        </w:rPr>
        <w:t xml:space="preserve">It is proposed that Type0-PDCCH should be monitored in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oMath>
      <w:r w:rsidRPr="004E4CEA">
        <w:rPr>
          <w:lang w:eastAsia="ja-JP"/>
        </w:rPr>
        <w:t xml:space="preserve"> and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r>
          <w:rPr>
            <w:rFonts w:ascii="Cambria Math" w:hAnsi="Cambria Math"/>
            <w:lang w:eastAsia="ja-JP"/>
          </w:rPr>
          <m:t>X</m:t>
        </m:r>
      </m:oMath>
      <w:r w:rsidRPr="004E4CEA">
        <w:rPr>
          <w:lang w:eastAsia="ja-JP"/>
        </w:rPr>
        <w:t xml:space="preserve">. </w:t>
      </w:r>
    </w:p>
    <w:p w14:paraId="49F51636" w14:textId="7EAC6440" w:rsidR="004E4CEA" w:rsidRPr="004E4CEA" w:rsidRDefault="004E4CEA" w:rsidP="00C16281">
      <w:pPr>
        <w:pStyle w:val="StyleListParagraph-BulletsLista11"/>
        <w:numPr>
          <w:ilvl w:val="1"/>
          <w:numId w:val="23"/>
        </w:numPr>
        <w:spacing w:after="160"/>
        <w:contextualSpacing/>
        <w:rPr>
          <w:lang w:eastAsia="ja-JP"/>
        </w:rPr>
      </w:pPr>
      <w:r w:rsidRPr="004E4CEA">
        <w:rPr>
          <w:lang w:eastAsia="ja-JP"/>
        </w:rPr>
        <w:t xml:space="preserve">Furthermore, if UEs’ multi-slot windows are </w:t>
      </w:r>
      <w:r w:rsidR="00FC546F">
        <w:rPr>
          <w:lang w:val="en-US" w:eastAsia="ja-JP"/>
        </w:rPr>
        <w:t xml:space="preserve">floating and </w:t>
      </w:r>
      <w:r w:rsidRPr="004E4CEA">
        <w:rPr>
          <w:lang w:eastAsia="ja-JP"/>
        </w:rPr>
        <w:t xml:space="preserve">not aligned as in Alt 2 multi-slot PDCCH monitoring, the Type0-PDCCH </w:t>
      </w:r>
      <w:r w:rsidR="00E55170">
        <w:rPr>
          <w:lang w:val="en-US" w:eastAsia="ja-JP"/>
        </w:rPr>
        <w:t xml:space="preserve">(and associated PDSCH carrying SIB1) </w:t>
      </w:r>
      <w:r w:rsidRPr="004E4CEA">
        <w:rPr>
          <w:lang w:eastAsia="ja-JP"/>
        </w:rPr>
        <w:t xml:space="preserve">will need to be repeated in all slots between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oMath>
      <w:r w:rsidRPr="004E4CEA">
        <w:rPr>
          <w:lang w:eastAsia="ja-JP"/>
        </w:rPr>
        <w:t xml:space="preserve"> and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r>
          <w:rPr>
            <w:rFonts w:ascii="Cambria Math" w:hAnsi="Cambria Math"/>
            <w:lang w:eastAsia="ja-JP"/>
          </w:rPr>
          <m:t>X</m:t>
        </m:r>
      </m:oMath>
      <w:r w:rsidRPr="004E4CEA">
        <w:rPr>
          <w:lang w:eastAsia="ja-JP"/>
        </w:rPr>
        <w:t>.</w:t>
      </w:r>
      <w:r w:rsidR="00B87A81">
        <w:rPr>
          <w:lang w:val="en-US" w:eastAsia="ja-JP"/>
        </w:rPr>
        <w:t xml:space="preserve"> That is, to support 64 SSB beams, </w:t>
      </w:r>
      <w:r w:rsidR="00227744">
        <w:rPr>
          <w:lang w:val="en-US" w:eastAsia="ja-JP"/>
        </w:rPr>
        <w:t xml:space="preserve">it becomes necessary </w:t>
      </w:r>
      <w:r w:rsidR="00E55170">
        <w:rPr>
          <w:lang w:val="en-US" w:eastAsia="ja-JP"/>
        </w:rPr>
        <w:t xml:space="preserve">for the gNB </w:t>
      </w:r>
      <w:r w:rsidR="00227744">
        <w:rPr>
          <w:lang w:val="en-US" w:eastAsia="ja-JP"/>
        </w:rPr>
        <w:t xml:space="preserve">to transmit the </w:t>
      </w:r>
      <w:r w:rsidR="00E55170">
        <w:rPr>
          <w:lang w:val="en-US" w:eastAsia="ja-JP"/>
        </w:rPr>
        <w:t>Type0-PDCCH and PDSCH carrying</w:t>
      </w:r>
      <w:r w:rsidR="00227744">
        <w:rPr>
          <w:lang w:val="en-US" w:eastAsia="ja-JP"/>
        </w:rPr>
        <w:t xml:space="preserve"> SIB1 </w:t>
      </w:r>
      <w:r w:rsidR="00C30755">
        <w:rPr>
          <w:lang w:val="en-US" w:eastAsia="ja-JP"/>
        </w:rPr>
        <w:t>64x4=256 times for the 480 kHz SCS instead of 64 times for the 120 kHz SCS.</w:t>
      </w:r>
    </w:p>
    <w:p w14:paraId="5A61E590" w14:textId="054C0BC0" w:rsidR="004E4CEA" w:rsidRPr="004E4CEA" w:rsidRDefault="004E4CEA" w:rsidP="0097567F">
      <w:pPr>
        <w:pStyle w:val="StyleListParagraph-BulletsLista11"/>
        <w:numPr>
          <w:ilvl w:val="0"/>
          <w:numId w:val="23"/>
        </w:numPr>
        <w:spacing w:after="160"/>
        <w:contextualSpacing/>
        <w:rPr>
          <w:lang w:eastAsia="ja-JP"/>
        </w:rPr>
      </w:pPr>
      <w:r w:rsidRPr="004E4CEA">
        <w:rPr>
          <w:lang w:eastAsia="ja-JP"/>
        </w:rPr>
        <w:t xml:space="preserve">A new concept of CSS zone, in addition to the floating multi-slot windows for Alt 2 multi-slot PDCCH monitoring, is also proposed </w:t>
      </w:r>
      <w:r w:rsidR="00246EFE">
        <w:rPr>
          <w:lang w:val="en-US" w:eastAsia="ja-JP"/>
        </w:rPr>
        <w:t>which</w:t>
      </w:r>
      <w:r w:rsidR="00246EFE" w:rsidRPr="008B5F9E">
        <w:rPr>
          <w:lang w:eastAsia="ja-JP"/>
        </w:rPr>
        <w:t xml:space="preserve"> </w:t>
      </w:r>
      <w:r w:rsidR="00563670" w:rsidRPr="008B5F9E">
        <w:rPr>
          <w:lang w:eastAsia="ja-JP"/>
        </w:rPr>
        <w:t>further complicate</w:t>
      </w:r>
      <w:r w:rsidR="00246EFE">
        <w:rPr>
          <w:lang w:val="en-US" w:eastAsia="ja-JP"/>
        </w:rPr>
        <w:t>s</w:t>
      </w:r>
      <w:r w:rsidRPr="004E4CEA">
        <w:rPr>
          <w:lang w:eastAsia="ja-JP"/>
        </w:rPr>
        <w:t xml:space="preserve"> the SS prioritization and dropping procedures </w:t>
      </w:r>
      <w:r w:rsidRPr="004E4CEA">
        <w:rPr>
          <w:lang w:eastAsia="ja-JP"/>
        </w:rPr>
        <w:fldChar w:fldCharType="begin"/>
      </w:r>
      <w:r w:rsidRPr="004E4CEA">
        <w:rPr>
          <w:lang w:eastAsia="ja-JP"/>
        </w:rPr>
        <w:instrText xml:space="preserve"> REF _Ref83729488 \r \h  \* MERGEFORMAT </w:instrText>
      </w:r>
      <w:r w:rsidRPr="004E4CEA">
        <w:rPr>
          <w:lang w:eastAsia="ja-JP"/>
        </w:rPr>
      </w:r>
      <w:r w:rsidRPr="004E4CEA">
        <w:rPr>
          <w:lang w:eastAsia="ja-JP"/>
        </w:rPr>
        <w:fldChar w:fldCharType="separate"/>
      </w:r>
      <w:r w:rsidR="00584934">
        <w:rPr>
          <w:lang w:eastAsia="ja-JP"/>
        </w:rPr>
        <w:t>[5]</w:t>
      </w:r>
      <w:r w:rsidRPr="004E4CEA">
        <w:rPr>
          <w:lang w:eastAsia="ja-JP"/>
        </w:rPr>
        <w:fldChar w:fldCharType="end"/>
      </w:r>
      <w:r w:rsidRPr="004E4CEA">
        <w:rPr>
          <w:lang w:eastAsia="ja-JP"/>
        </w:rPr>
        <w:t>. The proposed CSS zone consists of a pre-CSS and a post-CSS windows of different sizes, which are dependent of UE capabilities. The coordination of exactly which of the repeated CSS is actually monitored by the UE needs further additional procedure and protocol changes.</w:t>
      </w:r>
    </w:p>
    <w:p w14:paraId="426C1743" w14:textId="78B0BE3E" w:rsidR="00B63C32" w:rsidRDefault="004E4CEA" w:rsidP="004E4CEA">
      <w:pPr>
        <w:jc w:val="both"/>
        <w:rPr>
          <w:lang w:val="en-GB" w:eastAsia="ja-JP"/>
        </w:rPr>
      </w:pPr>
      <w:r w:rsidRPr="004E4CEA">
        <w:rPr>
          <w:lang w:val="en-GB" w:eastAsia="ja-JP"/>
        </w:rPr>
        <w:t>Both types of proposed changes deviate substantially from the system design principles embodied in Rel-15 NR. In our view, such significant and wide-ranging changes to the fundamental NR design for initial access is not justified. In particular, the full extent of these changes’ impacts to other procedures and system operation efficiency have not been discussed/clarified to any sufficient degrees.</w:t>
      </w:r>
    </w:p>
    <w:p w14:paraId="2320BD94" w14:textId="77777777" w:rsidR="00277FF6" w:rsidRDefault="00277FF6" w:rsidP="00277FF6">
      <w:pPr>
        <w:pStyle w:val="Observation"/>
      </w:pPr>
      <w:bookmarkStart w:id="7" w:name="_Toc83990421"/>
      <w:r>
        <w:t xml:space="preserve">For operation </w:t>
      </w:r>
      <w:r>
        <w:rPr>
          <w:rFonts w:eastAsiaTheme="minorEastAsia"/>
        </w:rPr>
        <w:t>with 480/960 kHz SCS</w:t>
      </w:r>
      <w:r>
        <w:t xml:space="preserve">, </w:t>
      </w:r>
      <w:r>
        <w:rPr>
          <w:lang w:val="en-GB"/>
        </w:rPr>
        <w:t>multi-slot PDCCH monitoring Alt 2 requires significant and wide-ranging changes to the fundamental NR design for initial access</w:t>
      </w:r>
      <w:r>
        <w:rPr>
          <w:rFonts w:eastAsiaTheme="minorEastAsia"/>
          <w:lang w:val="en-GB"/>
        </w:rPr>
        <w:t>.</w:t>
      </w:r>
      <w:bookmarkEnd w:id="7"/>
    </w:p>
    <w:p w14:paraId="6A782916" w14:textId="3E1C981E" w:rsidR="00277FF6" w:rsidRDefault="00277FF6" w:rsidP="000A19B4">
      <w:pPr>
        <w:jc w:val="both"/>
        <w:rPr>
          <w:lang w:val="en-GB" w:eastAsia="ja-JP"/>
        </w:rPr>
      </w:pPr>
    </w:p>
    <w:p w14:paraId="6A049EBF" w14:textId="759A1F8E" w:rsidR="001B203A" w:rsidRPr="001B203A" w:rsidRDefault="001B203A" w:rsidP="000A19B4">
      <w:pPr>
        <w:jc w:val="both"/>
        <w:rPr>
          <w:b/>
          <w:bCs/>
          <w:u w:val="single"/>
          <w:lang w:val="en-GB" w:eastAsia="ja-JP"/>
        </w:rPr>
      </w:pPr>
      <w:r w:rsidRPr="001B203A">
        <w:rPr>
          <w:b/>
          <w:bCs/>
          <w:u w:val="single"/>
          <w:lang w:val="en-GB" w:eastAsia="ja-JP"/>
        </w:rPr>
        <w:t>Option 2</w:t>
      </w:r>
    </w:p>
    <w:p w14:paraId="5DBC554F" w14:textId="7D1AEF3D" w:rsidR="004D3930" w:rsidRDefault="004D3930" w:rsidP="004D3930">
      <w:pPr>
        <w:jc w:val="both"/>
        <w:rPr>
          <w:lang w:val="en-GB" w:eastAsia="ja-JP"/>
        </w:rPr>
      </w:pPr>
      <w:r>
        <w:rPr>
          <w:lang w:val="en-GB" w:eastAsia="ja-JP"/>
        </w:rPr>
        <w:t xml:space="preserve">For Rel-17 operation in the FR2-2 range, maintaining the same initial access procedures and IDLE mode operations is beneficial to reducing implementation complexity and shortening time to market. Hence, the same NR system design principle that the Rel-15 UEs are required to support more flexible monitoring occasions in initial access and in the IDLE mode should be followed for a more streamlined Rel-17 specs. </w:t>
      </w:r>
      <w:r w:rsidR="00FE3492">
        <w:rPr>
          <w:lang w:val="en-GB" w:eastAsia="ja-JP"/>
        </w:rPr>
        <w:t>Therefore, we propose</w:t>
      </w:r>
    </w:p>
    <w:p w14:paraId="73CA0507" w14:textId="3B79D3CC" w:rsidR="00905DDF" w:rsidRPr="00A15203" w:rsidRDefault="00905DDF" w:rsidP="00905DDF">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8" w:name="_Toc83990562"/>
      <w:r>
        <w:rPr>
          <w:lang w:val="en-GB" w:eastAsia="ja-JP"/>
        </w:rPr>
        <w:t xml:space="preserve">For </w:t>
      </w:r>
      <w:r w:rsidRPr="00522D94">
        <w:rPr>
          <w:lang w:val="en-GB" w:eastAsia="ja-JP"/>
        </w:rPr>
        <w:t>operation with 480/960 kHz SCS</w:t>
      </w:r>
      <w:r>
        <w:rPr>
          <w:lang w:val="en-GB" w:eastAsia="ja-JP"/>
        </w:rPr>
        <w:t xml:space="preserve">, the </w:t>
      </w:r>
      <w:r w:rsidRPr="00DB189B">
        <w:rPr>
          <w:lang w:val="x-none" w:eastAsia="ja-JP"/>
        </w:rPr>
        <w:t xml:space="preserve">restriction of monitoring occasions within </w:t>
      </w:r>
      <w:r>
        <w:rPr>
          <w:lang w:eastAsia="ja-JP"/>
        </w:rPr>
        <w:t xml:space="preserve">Y slots/symbols per </w:t>
      </w:r>
      <w:r w:rsidRPr="00DB189B">
        <w:rPr>
          <w:lang w:val="x-none" w:eastAsia="ja-JP"/>
        </w:rPr>
        <w:t>X-slot window</w:t>
      </w:r>
      <w:r>
        <w:rPr>
          <w:lang w:eastAsia="ja-JP"/>
        </w:rPr>
        <w:t xml:space="preserve"> is not applicable to </w:t>
      </w:r>
      <w:r w:rsidRPr="004450C3">
        <w:rPr>
          <w:lang w:eastAsia="ja-JP"/>
        </w:rPr>
        <w:t>type 1 CSS without dedicated RRC configuration and for type 0, 0A, and 2 CSS</w:t>
      </w:r>
      <w:r>
        <w:rPr>
          <w:lang w:eastAsia="ja-JP"/>
        </w:rPr>
        <w:t>.</w:t>
      </w:r>
      <w:r w:rsidR="004C7D8B">
        <w:rPr>
          <w:lang w:eastAsia="ja-JP"/>
        </w:rPr>
        <w:br/>
      </w:r>
      <w:r w:rsidR="004C7D8B" w:rsidRPr="004C7D8B">
        <w:rPr>
          <w:rFonts w:eastAsiaTheme="minorEastAsia"/>
        </w:rPr>
        <w:t>That is, for type 1 CSS without dedicated RRC configuration and for type 0, 0A, and 2 CSS, the monitoring occasion can be within any single span of three consecutive OFDM symbols within any slot</w:t>
      </w:r>
      <w:r w:rsidR="004C7D8B">
        <w:rPr>
          <w:rFonts w:eastAsiaTheme="minorEastAsia"/>
        </w:rPr>
        <w:t xml:space="preserve"> (same as Rel-15 FG 3-1).</w:t>
      </w:r>
      <w:bookmarkEnd w:id="8"/>
    </w:p>
    <w:p w14:paraId="282FD774" w14:textId="77777777" w:rsidR="00905DDF" w:rsidRDefault="00905DDF" w:rsidP="00905DDF">
      <w:pPr>
        <w:jc w:val="both"/>
        <w:rPr>
          <w:lang w:eastAsia="ja-JP"/>
        </w:rPr>
      </w:pPr>
    </w:p>
    <w:p w14:paraId="1ABCB0D4" w14:textId="7DAC5373" w:rsidR="00E01B96" w:rsidRDefault="00E01B96" w:rsidP="00E01B96">
      <w:pPr>
        <w:jc w:val="both"/>
        <w:rPr>
          <w:lang w:val="en-GB" w:eastAsia="ja-JP"/>
        </w:rPr>
      </w:pPr>
      <w:r>
        <w:rPr>
          <w:lang w:val="en-GB" w:eastAsia="ja-JP"/>
        </w:rPr>
        <w:t>T</w:t>
      </w:r>
      <w:r w:rsidRPr="00653B00">
        <w:rPr>
          <w:lang w:val="en-GB" w:eastAsia="ja-JP"/>
        </w:rPr>
        <w:t>his Rel-15 system operation approach can easily be integrated with multi-slot PDCCH monitoring Alt 1 with fixed windows</w:t>
      </w:r>
      <w:r w:rsidR="00AE0187">
        <w:rPr>
          <w:lang w:val="en-GB" w:eastAsia="ja-JP"/>
        </w:rPr>
        <w:t xml:space="preserve">. Note that, as discussed </w:t>
      </w:r>
      <w:r w:rsidR="009A4923">
        <w:rPr>
          <w:lang w:val="en-GB" w:eastAsia="ja-JP"/>
        </w:rPr>
        <w:t>Section 2.2</w:t>
      </w:r>
      <w:r w:rsidR="00AE0187">
        <w:rPr>
          <w:lang w:val="en-GB" w:eastAsia="ja-JP"/>
        </w:rPr>
        <w:t>, the windows</w:t>
      </w:r>
      <w:r w:rsidR="00D32A2D">
        <w:rPr>
          <w:lang w:val="en-GB" w:eastAsia="ja-JP"/>
        </w:rPr>
        <w:t xml:space="preserve"> are aligned with radio frames and hence fixed even during initial access.</w:t>
      </w:r>
    </w:p>
    <w:p w14:paraId="53D8784D" w14:textId="30D4B6B9" w:rsidR="00E01B96" w:rsidRDefault="00E01B96" w:rsidP="00E01B96">
      <w:pPr>
        <w:pStyle w:val="StyleListParagraph-BulletsLista11"/>
        <w:numPr>
          <w:ilvl w:val="0"/>
          <w:numId w:val="23"/>
        </w:numPr>
        <w:spacing w:after="160"/>
        <w:contextualSpacing/>
        <w:rPr>
          <w:lang w:eastAsia="ja-JP"/>
        </w:rPr>
      </w:pPr>
      <w:r w:rsidRPr="0075315A">
        <w:rPr>
          <w:lang w:eastAsia="ja-JP"/>
        </w:rPr>
        <w:t>With fixed X-slot windows, the BD/CCE budget for an X-slot window is appropriated for monitoring CSS located within the X-slot</w:t>
      </w:r>
      <w:r w:rsidR="00E45E4B">
        <w:rPr>
          <w:lang w:val="en-US" w:eastAsia="ja-JP"/>
        </w:rPr>
        <w:t>s</w:t>
      </w:r>
      <w:r w:rsidRPr="0075315A">
        <w:rPr>
          <w:lang w:eastAsia="ja-JP"/>
        </w:rPr>
        <w:t xml:space="preserve">, with the remaining budget utilized for monitoring USS according to ascending USS index. The presence of </w:t>
      </w:r>
      <w:r w:rsidR="00720FE0" w:rsidRPr="0075315A">
        <w:rPr>
          <w:lang w:eastAsia="ja-JP"/>
        </w:rPr>
        <w:t xml:space="preserve">type 1 CSS without dedicated RRC configuration and for type 0, 0A, and 2 CSS </w:t>
      </w:r>
      <w:r w:rsidRPr="0075315A">
        <w:rPr>
          <w:lang w:eastAsia="ja-JP"/>
        </w:rPr>
        <w:t xml:space="preserve">within an X-slot window, regardless of where such a CSS locates within the X-slot window, has no </w:t>
      </w:r>
      <w:r w:rsidR="00C83E26">
        <w:rPr>
          <w:rFonts w:eastAsiaTheme="minorEastAsia"/>
          <w:lang w:val="en-GB"/>
        </w:rPr>
        <w:t xml:space="preserve">impact </w:t>
      </w:r>
      <w:r w:rsidRPr="0075315A">
        <w:rPr>
          <w:lang w:eastAsia="ja-JP"/>
        </w:rPr>
        <w:t>on the BD/CCE budget for the next X-slot window</w:t>
      </w:r>
    </w:p>
    <w:p w14:paraId="6D69C3C5" w14:textId="116A090E" w:rsidR="00C83E26" w:rsidRPr="005A17CC" w:rsidRDefault="005F4589" w:rsidP="005A17CC">
      <w:pPr>
        <w:jc w:val="both"/>
        <w:rPr>
          <w:lang w:val="en-GB" w:eastAsia="ja-JP"/>
        </w:rPr>
      </w:pPr>
      <w:r>
        <w:rPr>
          <w:lang w:val="en-GB" w:eastAsia="ja-JP"/>
        </w:rPr>
        <w:t>Therefore, we propose</w:t>
      </w:r>
    </w:p>
    <w:p w14:paraId="1BCDA59A" w14:textId="25D9FCA5" w:rsidR="00616BDD" w:rsidRPr="00A15203" w:rsidRDefault="00616BDD" w:rsidP="00616BDD">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9" w:name="_Toc83990563"/>
      <w:r>
        <w:t xml:space="preserve">For </w:t>
      </w:r>
      <w:r w:rsidR="00E1247A">
        <w:t xml:space="preserve">the fixed window </w:t>
      </w:r>
      <w:r>
        <w:rPr>
          <w:lang w:val="en-GB" w:eastAsia="ja-JP"/>
        </w:rPr>
        <w:t xml:space="preserve">multi-slot PDCCH monitoring Alt 1 </w:t>
      </w:r>
      <w:r>
        <w:rPr>
          <w:rFonts w:eastAsiaTheme="minorEastAsia"/>
        </w:rPr>
        <w:t>with 480/960 kHz SCS</w:t>
      </w:r>
      <w:r>
        <w:t xml:space="preserve">, </w:t>
      </w:r>
      <w:r>
        <w:rPr>
          <w:lang w:val="en-GB" w:eastAsia="ja-JP"/>
        </w:rPr>
        <w:t xml:space="preserve">the BD/CCE budget for an X-slot window is </w:t>
      </w:r>
      <w:r w:rsidR="00771C84">
        <w:rPr>
          <w:lang w:val="en-GB" w:eastAsia="ja-JP"/>
        </w:rPr>
        <w:t>allocated</w:t>
      </w:r>
      <w:r>
        <w:rPr>
          <w:lang w:val="en-GB" w:eastAsia="ja-JP"/>
        </w:rPr>
        <w:t xml:space="preserve"> for monitoring CSS located within the X</w:t>
      </w:r>
      <w:r w:rsidR="0005344B">
        <w:rPr>
          <w:lang w:val="en-GB" w:eastAsia="ja-JP"/>
        </w:rPr>
        <w:t xml:space="preserve"> </w:t>
      </w:r>
      <w:r>
        <w:rPr>
          <w:lang w:val="en-GB" w:eastAsia="ja-JP"/>
        </w:rPr>
        <w:t>slot</w:t>
      </w:r>
      <w:r w:rsidR="00E45E4B">
        <w:rPr>
          <w:lang w:val="en-GB" w:eastAsia="ja-JP"/>
        </w:rPr>
        <w:t>s</w:t>
      </w:r>
      <w:r>
        <w:rPr>
          <w:lang w:val="en-GB" w:eastAsia="ja-JP"/>
        </w:rPr>
        <w:t xml:space="preserve">, with the remaining budget utilized for monitoring USS according to ascending USS index. </w:t>
      </w:r>
      <w:r>
        <w:rPr>
          <w:lang w:val="en-GB" w:eastAsia="ja-JP"/>
        </w:rPr>
        <w:br/>
        <w:t xml:space="preserve">The presence of </w:t>
      </w:r>
      <w:r w:rsidR="00EF3E6B" w:rsidRPr="004450C3">
        <w:t>type 1 CSS without dedicated RRC configuration and for type 0, 0A, and 2 CSS</w:t>
      </w:r>
      <w:r w:rsidR="00EF3E6B">
        <w:rPr>
          <w:lang w:val="en-GB" w:eastAsia="ja-JP"/>
        </w:rPr>
        <w:t xml:space="preserve"> </w:t>
      </w:r>
      <w:r>
        <w:rPr>
          <w:lang w:val="en-GB" w:eastAsia="ja-JP"/>
        </w:rPr>
        <w:t xml:space="preserve">within an X-slot </w:t>
      </w:r>
      <w:proofErr w:type="gramStart"/>
      <w:r>
        <w:rPr>
          <w:lang w:val="en-GB" w:eastAsia="ja-JP"/>
        </w:rPr>
        <w:t>window</w:t>
      </w:r>
      <w:proofErr w:type="gramEnd"/>
      <w:r>
        <w:rPr>
          <w:rFonts w:eastAsiaTheme="minorEastAsia"/>
          <w:lang w:val="en-GB" w:eastAsia="ja-JP"/>
        </w:rPr>
        <w:t xml:space="preserve">, regardless of where such a CSS locates within the </w:t>
      </w:r>
      <w:r>
        <w:rPr>
          <w:lang w:val="en-GB" w:eastAsia="ja-JP"/>
        </w:rPr>
        <w:t>X-slot window</w:t>
      </w:r>
      <w:r w:rsidR="00EF3E6B">
        <w:rPr>
          <w:lang w:val="en-GB" w:eastAsia="ja-JP"/>
        </w:rPr>
        <w:t xml:space="preserve">, </w:t>
      </w:r>
      <w:r>
        <w:rPr>
          <w:rFonts w:eastAsiaTheme="minorEastAsia"/>
          <w:lang w:val="en-GB" w:eastAsia="ja-JP"/>
        </w:rPr>
        <w:t xml:space="preserve">has no </w:t>
      </w:r>
      <w:r>
        <w:rPr>
          <w:rFonts w:eastAsiaTheme="minorEastAsia"/>
          <w:lang w:val="en-GB"/>
        </w:rPr>
        <w:t xml:space="preserve">impact </w:t>
      </w:r>
      <w:r>
        <w:rPr>
          <w:rFonts w:eastAsiaTheme="minorEastAsia"/>
          <w:lang w:val="en-GB" w:eastAsia="ja-JP"/>
        </w:rPr>
        <w:t xml:space="preserve">on the BD/CCE budget for the next </w:t>
      </w:r>
      <w:r>
        <w:rPr>
          <w:lang w:val="en-GB" w:eastAsia="ja-JP"/>
        </w:rPr>
        <w:t>X-slot window</w:t>
      </w:r>
      <w:r>
        <w:rPr>
          <w:rFonts w:eastAsiaTheme="minorEastAsia"/>
          <w:lang w:val="en-GB" w:eastAsia="ja-JP"/>
        </w:rPr>
        <w:t>.</w:t>
      </w:r>
      <w:bookmarkEnd w:id="9"/>
    </w:p>
    <w:p w14:paraId="1F7D27E8" w14:textId="1BACDD17" w:rsidR="00905DDF" w:rsidRDefault="00905DDF" w:rsidP="000A19B4">
      <w:pPr>
        <w:jc w:val="both"/>
        <w:rPr>
          <w:lang w:val="en-GB" w:eastAsia="ja-JP"/>
        </w:rPr>
      </w:pPr>
    </w:p>
    <w:p w14:paraId="15A68DCF" w14:textId="0011C485" w:rsidR="008225E7" w:rsidRDefault="008225E7" w:rsidP="008225E7">
      <w:pPr>
        <w:pStyle w:val="Heading3"/>
      </w:pPr>
      <w:r>
        <w:t>2.1</w:t>
      </w:r>
      <w:r w:rsidR="008A00FF">
        <w:t>.2</w:t>
      </w:r>
      <w:r>
        <w:tab/>
      </w:r>
      <w:r w:rsidR="00324329">
        <w:t>Rel-17 support for per-slot and multi-slot PDCCH monitoring</w:t>
      </w:r>
      <w:r>
        <w:t xml:space="preserve"> </w:t>
      </w:r>
    </w:p>
    <w:p w14:paraId="0767B60D" w14:textId="6E02BEAB" w:rsidR="00FB6F52" w:rsidRPr="004068C6" w:rsidRDefault="002331EF" w:rsidP="00FB6F52">
      <w:pPr>
        <w:jc w:val="both"/>
        <w:rPr>
          <w:lang w:val="en-GB" w:eastAsia="ja-JP"/>
        </w:rPr>
      </w:pPr>
      <w:r w:rsidRPr="002331EF">
        <w:rPr>
          <w:lang w:val="en-GB" w:eastAsia="ja-JP"/>
        </w:rPr>
        <w:t xml:space="preserve">Since the beginning of the WI, progress in the multi-slot PDCCH monitoring designs has been slow. </w:t>
      </w:r>
      <w:r w:rsidR="00FB6F52" w:rsidRPr="004068C6">
        <w:rPr>
          <w:lang w:val="en-GB" w:eastAsia="ja-JP"/>
        </w:rPr>
        <w:t xml:space="preserve">It was </w:t>
      </w:r>
      <w:r w:rsidR="00A159C9">
        <w:rPr>
          <w:lang w:val="en-GB" w:eastAsia="ja-JP"/>
        </w:rPr>
        <w:t xml:space="preserve">only </w:t>
      </w:r>
      <w:r w:rsidR="00FB6F52" w:rsidRPr="004068C6">
        <w:rPr>
          <w:lang w:val="en-GB" w:eastAsia="ja-JP"/>
        </w:rPr>
        <w:t>agreed in the last RAN1 meeting that a UE supporting 480/960 SCS also supports multi-slot PDCCH monitoring</w:t>
      </w:r>
      <w:r w:rsidR="00FB6F52">
        <w:rPr>
          <w:lang w:val="en-GB" w:eastAsia="ja-JP"/>
        </w:rPr>
        <w:t xml:space="preserve"> for at least</w:t>
      </w:r>
    </w:p>
    <w:p w14:paraId="30BFC852" w14:textId="77777777" w:rsidR="00FB6F52" w:rsidRPr="00D669EF" w:rsidRDefault="00FB6F52" w:rsidP="00FB6F52">
      <w:pPr>
        <w:pStyle w:val="StyleListParagraph-BulletsLista11"/>
        <w:numPr>
          <w:ilvl w:val="0"/>
          <w:numId w:val="23"/>
        </w:numPr>
        <w:spacing w:after="160"/>
        <w:contextualSpacing/>
        <w:rPr>
          <w:lang w:eastAsia="ja-JP"/>
        </w:rPr>
      </w:pPr>
      <w:r w:rsidRPr="00D669EF">
        <w:rPr>
          <w:lang w:eastAsia="ja-JP"/>
        </w:rPr>
        <w:t>X=4 slots for SCS 480 kHz</w:t>
      </w:r>
    </w:p>
    <w:p w14:paraId="4874C316" w14:textId="77777777" w:rsidR="00FB6F52" w:rsidRPr="00D669EF" w:rsidRDefault="00FB6F52" w:rsidP="00FB6F52">
      <w:pPr>
        <w:pStyle w:val="StyleListParagraph-BulletsLista11"/>
        <w:numPr>
          <w:ilvl w:val="0"/>
          <w:numId w:val="23"/>
        </w:numPr>
        <w:spacing w:after="160"/>
        <w:contextualSpacing/>
        <w:rPr>
          <w:lang w:eastAsia="ja-JP"/>
        </w:rPr>
      </w:pPr>
      <w:r w:rsidRPr="00D669EF">
        <w:rPr>
          <w:lang w:eastAsia="ja-JP"/>
        </w:rPr>
        <w:t>X=8 slots for SCS 960 kHz</w:t>
      </w:r>
    </w:p>
    <w:p w14:paraId="3EB6A78B" w14:textId="77777777" w:rsidR="00F702BE" w:rsidRDefault="00F702BE" w:rsidP="00F702BE">
      <w:pPr>
        <w:jc w:val="both"/>
        <w:rPr>
          <w:lang w:val="en-GB" w:eastAsia="ja-JP"/>
        </w:rPr>
      </w:pPr>
      <w:r>
        <w:rPr>
          <w:lang w:val="en-GB" w:eastAsia="ja-JP"/>
        </w:rPr>
        <w:t>However, further details of operating these two cases are still largely missing.</w:t>
      </w:r>
    </w:p>
    <w:p w14:paraId="00466122" w14:textId="77777777" w:rsidR="00F702BE" w:rsidRPr="001C71C1" w:rsidRDefault="00F702BE" w:rsidP="00F702BE">
      <w:pPr>
        <w:pStyle w:val="StyleListParagraph-BulletsLista11"/>
        <w:numPr>
          <w:ilvl w:val="0"/>
          <w:numId w:val="23"/>
        </w:numPr>
        <w:spacing w:after="160"/>
        <w:rPr>
          <w:lang w:eastAsia="ja-JP"/>
        </w:rPr>
      </w:pPr>
      <w:proofErr w:type="gramStart"/>
      <w:r>
        <w:rPr>
          <w:lang w:val="en-US" w:eastAsia="ja-JP"/>
        </w:rPr>
        <w:t>First of all</w:t>
      </w:r>
      <w:proofErr w:type="gramEnd"/>
      <w:r>
        <w:rPr>
          <w:lang w:val="en-US" w:eastAsia="ja-JP"/>
        </w:rPr>
        <w:t xml:space="preserve">, the three Alternatives identified for </w:t>
      </w:r>
      <w:r w:rsidRPr="00B30B10">
        <w:rPr>
          <w:lang w:val="en-US" w:eastAsia="ja-JP"/>
        </w:rPr>
        <w:t>multi-slot PDCCH monitoring capability</w:t>
      </w:r>
      <w:r>
        <w:rPr>
          <w:lang w:val="en-US" w:eastAsia="ja-JP"/>
        </w:rPr>
        <w:t xml:space="preserve"> definition since the beginning of the WI has yet to converge on a single design. We provide further discussion in Section 2.3 below.</w:t>
      </w:r>
    </w:p>
    <w:p w14:paraId="2708FC77" w14:textId="77777777" w:rsidR="00F702BE" w:rsidRPr="003E4391" w:rsidRDefault="00F702BE" w:rsidP="00F702BE">
      <w:pPr>
        <w:pStyle w:val="StyleListParagraph-BulletsLista11"/>
        <w:numPr>
          <w:ilvl w:val="0"/>
          <w:numId w:val="23"/>
        </w:numPr>
        <w:spacing w:after="160"/>
        <w:contextualSpacing/>
        <w:rPr>
          <w:lang w:eastAsia="ja-JP"/>
        </w:rPr>
      </w:pPr>
      <w:r>
        <w:t xml:space="preserve">In designing the Rel-17 multi-slot PDCCH monitoring solutions, </w:t>
      </w:r>
      <w:r w:rsidRPr="008C5B15">
        <w:t>both aspects</w:t>
      </w:r>
      <w:r>
        <w:rPr>
          <w:lang w:val="en-US"/>
        </w:rPr>
        <w:t xml:space="preserve"> of</w:t>
      </w:r>
    </w:p>
    <w:p w14:paraId="1ECA3408" w14:textId="77777777" w:rsidR="00F702BE" w:rsidRDefault="00F702BE" w:rsidP="00F702BE">
      <w:pPr>
        <w:pStyle w:val="StyleListParagraph-BulletsLista11"/>
        <w:numPr>
          <w:ilvl w:val="1"/>
          <w:numId w:val="23"/>
        </w:numPr>
        <w:spacing w:after="160"/>
        <w:contextualSpacing/>
        <w:rPr>
          <w:lang w:eastAsia="ja-JP"/>
        </w:rPr>
      </w:pPr>
      <w:r>
        <w:rPr>
          <w:lang w:eastAsia="ja-JP"/>
        </w:rPr>
        <w:t>In which slot(s) of a multi-slot span shall PDCCH be monitored?</w:t>
      </w:r>
    </w:p>
    <w:p w14:paraId="4E3ACDC1" w14:textId="77777777" w:rsidR="00F702BE" w:rsidRDefault="00F702BE" w:rsidP="00F702BE">
      <w:pPr>
        <w:pStyle w:val="StyleListParagraph-BulletsLista11"/>
        <w:numPr>
          <w:ilvl w:val="1"/>
          <w:numId w:val="23"/>
        </w:numPr>
        <w:spacing w:after="160"/>
        <w:contextualSpacing/>
        <w:rPr>
          <w:lang w:eastAsia="ja-JP"/>
        </w:rPr>
      </w:pPr>
      <w:r>
        <w:rPr>
          <w:lang w:eastAsia="ja-JP"/>
        </w:rPr>
        <w:t>In which OFDM symbols of a monitored slot shall PDCCH be monitored?</w:t>
      </w:r>
    </w:p>
    <w:p w14:paraId="40F43D74" w14:textId="77777777" w:rsidR="00F702BE" w:rsidRDefault="00F702BE" w:rsidP="00F702BE">
      <w:pPr>
        <w:pStyle w:val="StyleListParagraph-BulletsLista11"/>
        <w:spacing w:after="160"/>
        <w:contextualSpacing/>
        <w:rPr>
          <w:lang w:val="en-US"/>
        </w:rPr>
      </w:pPr>
      <w:r>
        <w:rPr>
          <w:lang w:val="en-US" w:eastAsia="ja-JP"/>
        </w:rPr>
        <w:t xml:space="preserve">need to be </w:t>
      </w:r>
      <w:r w:rsidRPr="008C5B15">
        <w:t>addressed jointly</w:t>
      </w:r>
      <w:r>
        <w:rPr>
          <w:lang w:val="en-US"/>
        </w:rPr>
        <w:t xml:space="preserve">. </w:t>
      </w:r>
    </w:p>
    <w:p w14:paraId="74E66AE5" w14:textId="77777777" w:rsidR="00F702BE" w:rsidRDefault="00F702BE" w:rsidP="00F702BE">
      <w:pPr>
        <w:pStyle w:val="StyleListParagraph-BulletsLista11"/>
        <w:spacing w:after="160"/>
        <w:contextualSpacing/>
        <w:rPr>
          <w:lang w:val="en-US"/>
        </w:rPr>
      </w:pPr>
      <w:r w:rsidRPr="00EC515B">
        <w:t>For example</w:t>
      </w:r>
      <w:r>
        <w:t>,</w:t>
      </w:r>
      <w:r w:rsidRPr="00EC515B">
        <w:t xml:space="preserve"> if a solution is adopted whereby all monitoring is concentrated within a single slot of an </w:t>
      </w:r>
      <w:r>
        <w:rPr>
          <w:lang w:val="en-US"/>
        </w:rPr>
        <w:t>X</w:t>
      </w:r>
      <w:r w:rsidRPr="00EC515B">
        <w:t xml:space="preserve">-slot </w:t>
      </w:r>
      <w:r>
        <w:rPr>
          <w:lang w:val="en-US"/>
        </w:rPr>
        <w:t xml:space="preserve">window </w:t>
      </w:r>
      <w:r w:rsidRPr="00EC515B">
        <w:t xml:space="preserve">(not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xml:space="preserve">. For such a solution PDCCH monitoring </w:t>
      </w:r>
      <w:r>
        <w:rPr>
          <w:lang w:val="en-US"/>
        </w:rPr>
        <w:t>c</w:t>
      </w:r>
      <w:proofErr w:type="spellStart"/>
      <w:r w:rsidRPr="00EC515B">
        <w:t>ase</w:t>
      </w:r>
      <w:proofErr w:type="spellEnd"/>
      <w:r w:rsidRPr="00EC515B">
        <w:t xml:space="preserve"> 1-1 would be far too restrictive</w:t>
      </w:r>
      <w:r>
        <w:rPr>
          <w:lang w:val="en-US"/>
        </w:rPr>
        <w:t xml:space="preserve"> and case 1-2 or case 2 would be necessary</w:t>
      </w:r>
      <w:r w:rsidRPr="00EC515B">
        <w:t xml:space="preserve">. </w:t>
      </w:r>
      <w:r>
        <w:t xml:space="preserve">On the other hand, if </w:t>
      </w:r>
      <w:r w:rsidRPr="00EC515B">
        <w:t xml:space="preserve">there is network flexibility to configure a UE to monitor in different slots of an </w:t>
      </w:r>
      <w:r>
        <w:rPr>
          <w:lang w:val="en-US"/>
        </w:rPr>
        <w:t>X</w:t>
      </w:r>
      <w:r w:rsidRPr="00EC515B">
        <w:t xml:space="preserve">-slot </w:t>
      </w:r>
      <w:r>
        <w:rPr>
          <w:lang w:val="en-US"/>
        </w:rPr>
        <w:t>window</w:t>
      </w:r>
      <w:r w:rsidRPr="00EC515B">
        <w:t xml:space="preserve"> (e.g., CSS and USS in different slots), then </w:t>
      </w:r>
      <w:r>
        <w:t xml:space="preserve">PDCCH monitoring </w:t>
      </w:r>
      <w:r w:rsidRPr="00EC515B">
        <w:t>case 1-1</w:t>
      </w:r>
      <w:r>
        <w:rPr>
          <w:lang w:val="en-US"/>
        </w:rPr>
        <w:t xml:space="preserve"> or case 1-2</w:t>
      </w:r>
      <w:r>
        <w:t xml:space="preserve"> </w:t>
      </w:r>
      <w:r w:rsidRPr="00EC515B">
        <w:t>would be sufficient</w:t>
      </w:r>
      <w:r>
        <w:rPr>
          <w:lang w:val="en-US"/>
        </w:rPr>
        <w:t>.</w:t>
      </w:r>
    </w:p>
    <w:p w14:paraId="469FD8A3" w14:textId="77777777" w:rsidR="00F702BE" w:rsidRDefault="00F702BE" w:rsidP="00F702BE">
      <w:pPr>
        <w:pStyle w:val="StyleListParagraph-BulletsLista11"/>
        <w:spacing w:after="160"/>
        <w:contextualSpacing/>
        <w:rPr>
          <w:lang w:val="en-US" w:eastAsia="ja-JP"/>
        </w:rPr>
      </w:pPr>
      <w:r>
        <w:rPr>
          <w:lang w:val="en-US" w:eastAsia="ja-JP"/>
        </w:rPr>
        <w:t>Therefore, we believe it is important for RAN1 to prioritize finalizing these design details:</w:t>
      </w:r>
    </w:p>
    <w:p w14:paraId="7D46D262" w14:textId="77777777" w:rsidR="00F702BE" w:rsidRPr="000A3E38" w:rsidRDefault="00F702BE" w:rsidP="00F702BE">
      <w:pPr>
        <w:pStyle w:val="StyleListParagraph-BulletsLista11"/>
        <w:numPr>
          <w:ilvl w:val="1"/>
          <w:numId w:val="23"/>
        </w:numPr>
        <w:spacing w:after="160"/>
        <w:contextualSpacing/>
        <w:rPr>
          <w:lang w:eastAsia="ja-JP"/>
        </w:rPr>
      </w:pPr>
      <w:r>
        <w:rPr>
          <w:lang w:val="en-US" w:eastAsia="ja-JP"/>
        </w:rPr>
        <w:t xml:space="preserve">Minimum </w:t>
      </w:r>
      <w:r w:rsidRPr="000A3E38">
        <w:rPr>
          <w:lang w:eastAsia="ja-JP"/>
        </w:rPr>
        <w:t>supported values of Y</w:t>
      </w:r>
      <w:r>
        <w:rPr>
          <w:lang w:val="en-US" w:eastAsia="ja-JP"/>
        </w:rPr>
        <w:t xml:space="preserve"> for the respective X?</w:t>
      </w:r>
    </w:p>
    <w:p w14:paraId="2101EC65" w14:textId="77777777" w:rsidR="00F702BE" w:rsidRPr="000A3E38" w:rsidRDefault="00F702BE" w:rsidP="00F702BE">
      <w:pPr>
        <w:pStyle w:val="StyleListParagraph-BulletsLista11"/>
        <w:numPr>
          <w:ilvl w:val="1"/>
          <w:numId w:val="23"/>
        </w:numPr>
        <w:spacing w:after="160"/>
        <w:rPr>
          <w:lang w:eastAsia="ja-JP"/>
        </w:rPr>
      </w:pPr>
      <w:r>
        <w:rPr>
          <w:lang w:val="en-US" w:eastAsia="ja-JP"/>
        </w:rPr>
        <w:t xml:space="preserve">What </w:t>
      </w:r>
      <w:r w:rsidRPr="000A3E38">
        <w:rPr>
          <w:lang w:eastAsia="ja-JP"/>
        </w:rPr>
        <w:t>symbols within the Y slots for PDCCH monitoring</w:t>
      </w:r>
      <w:r>
        <w:rPr>
          <w:lang w:val="en-US" w:eastAsia="ja-JP"/>
        </w:rPr>
        <w:t>?</w:t>
      </w:r>
    </w:p>
    <w:p w14:paraId="61D69CA8" w14:textId="77777777" w:rsidR="00F702BE" w:rsidRPr="00E420FB" w:rsidRDefault="00F702BE" w:rsidP="00F702BE">
      <w:pPr>
        <w:pStyle w:val="StyleListParagraph-BulletsLista11"/>
        <w:numPr>
          <w:ilvl w:val="0"/>
          <w:numId w:val="23"/>
        </w:numPr>
        <w:spacing w:after="160"/>
        <w:contextualSpacing/>
      </w:pPr>
      <w:r w:rsidRPr="00E420FB">
        <w:t xml:space="preserve">The BD/CCE </w:t>
      </w:r>
      <w:r>
        <w:rPr>
          <w:lang w:val="en-US"/>
        </w:rPr>
        <w:t xml:space="preserve">budget </w:t>
      </w:r>
      <w:r>
        <w:rPr>
          <w:lang w:val="en-GB" w:eastAsia="ja-JP"/>
        </w:rPr>
        <w:t>for the X-slot window has not seen any progress in RAN1. With the end of the WI approaching, more discussion is urgently needed in this area. We provide our analysis in Section 2.4.</w:t>
      </w:r>
    </w:p>
    <w:p w14:paraId="0144BB31" w14:textId="77777777" w:rsidR="00F702BE" w:rsidRDefault="00F702BE" w:rsidP="00F702BE">
      <w:pPr>
        <w:jc w:val="both"/>
        <w:rPr>
          <w:lang w:val="en-GB" w:eastAsia="ja-JP"/>
        </w:rPr>
      </w:pPr>
      <w:r>
        <w:rPr>
          <w:lang w:val="en-GB" w:eastAsia="ja-JP"/>
        </w:rPr>
        <w:t>In addition to the support of X=4 for 480 kHz SCS and X=8 for 960 kHz SCS, several companies proposed the support of per-slot PDCCH monitoring as well as multi-slot PDCCH monitoring other than these two cases as optional UE capabilities. In our view, this distracts and slows down RAN1 from finalizing the core multi-slot PDCCH monitoring designs. Therefore, we propose</w:t>
      </w:r>
    </w:p>
    <w:p w14:paraId="2CBC8AD4" w14:textId="77777777" w:rsidR="00F702BE" w:rsidRPr="0096304A" w:rsidRDefault="00F702BE" w:rsidP="00F702BE">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10" w:name="_Toc83990564"/>
      <w:r>
        <w:t xml:space="preserve">For </w:t>
      </w:r>
      <w:r>
        <w:rPr>
          <w:rFonts w:eastAsiaTheme="minorEastAsia"/>
        </w:rPr>
        <w:t>operation with 480/960 kHz SCS</w:t>
      </w:r>
      <w:r>
        <w:t xml:space="preserve">, </w:t>
      </w:r>
      <w:r>
        <w:rPr>
          <w:lang w:val="en-GB" w:eastAsia="ja-JP"/>
        </w:rPr>
        <w:t>multi-slot PDCCH monitoring other than X=4 for 480 kHz SCS and X=8 for 960 kHz SCS is deferred until RAN1 completes the details of multi-slot PDCCH monitoring with X=4 for 480 kHz SCS and X=8 for 960 kHz SCS including at least</w:t>
      </w:r>
      <w:r>
        <w:rPr>
          <w:lang w:val="en-GB" w:eastAsia="ja-JP"/>
        </w:rPr>
        <w:br/>
        <w:t>(1) A</w:t>
      </w:r>
      <w:r w:rsidRPr="00EF5B66">
        <w:rPr>
          <w:lang w:val="en-GB" w:eastAsia="ja-JP"/>
        </w:rPr>
        <w:t xml:space="preserve"> decision on Alt-1 vs. Alt-2</w:t>
      </w:r>
      <w:r>
        <w:rPr>
          <w:lang w:val="en-GB" w:eastAsia="ja-JP"/>
        </w:rPr>
        <w:t xml:space="preserve"> multi-slot PDCCH monitoring?</w:t>
      </w:r>
      <w:r>
        <w:rPr>
          <w:lang w:val="en-GB" w:eastAsia="ja-JP"/>
        </w:rPr>
        <w:br/>
        <w:t>(2) The minimum supported values of Y</w:t>
      </w:r>
      <w:r w:rsidRPr="001B2DE8">
        <w:rPr>
          <w:lang w:eastAsia="ja-JP"/>
        </w:rPr>
        <w:t xml:space="preserve"> </w:t>
      </w:r>
      <w:r>
        <w:rPr>
          <w:lang w:eastAsia="ja-JP"/>
        </w:rPr>
        <w:t>for the respective X values?</w:t>
      </w:r>
      <w:r>
        <w:rPr>
          <w:lang w:val="en-GB" w:eastAsia="ja-JP"/>
        </w:rPr>
        <w:br/>
        <w:t>(3) What symbols within the Y slots for PDCCH monitoring?</w:t>
      </w:r>
      <w:r>
        <w:rPr>
          <w:lang w:val="en-GB" w:eastAsia="ja-JP"/>
        </w:rPr>
        <w:br/>
        <w:t>(4) The BD/CCE budget requirement for the X-slot window?</w:t>
      </w:r>
      <w:bookmarkEnd w:id="10"/>
    </w:p>
    <w:p w14:paraId="5826C3ED" w14:textId="77777777" w:rsidR="00F702BE" w:rsidRDefault="00F702BE" w:rsidP="00F702BE">
      <w:pPr>
        <w:jc w:val="both"/>
        <w:rPr>
          <w:lang w:val="en-GB" w:eastAsia="ja-JP"/>
        </w:rPr>
      </w:pPr>
    </w:p>
    <w:p w14:paraId="62373DED" w14:textId="77777777" w:rsidR="00F702BE" w:rsidRDefault="00F702BE" w:rsidP="00F702BE">
      <w:pPr>
        <w:jc w:val="both"/>
        <w:rPr>
          <w:lang w:val="en-GB" w:eastAsia="ja-JP"/>
        </w:rPr>
      </w:pPr>
      <w:r>
        <w:rPr>
          <w:lang w:val="en-GB" w:eastAsia="ja-JP"/>
        </w:rPr>
        <w:t>During the RAN1 #106e email discussion, several companies pointed out that, for per-slot PDCCH monitoring, only two aspects out of the above list need to be clarified and defined:</w:t>
      </w:r>
    </w:p>
    <w:p w14:paraId="7C4F9D56" w14:textId="77777777" w:rsidR="00F702BE" w:rsidRPr="00F74D59" w:rsidRDefault="00F702BE" w:rsidP="00F702BE">
      <w:pPr>
        <w:pStyle w:val="StyleListParagraph-BulletsLista11"/>
        <w:numPr>
          <w:ilvl w:val="0"/>
          <w:numId w:val="23"/>
        </w:numPr>
        <w:spacing w:after="160"/>
        <w:contextualSpacing/>
        <w:rPr>
          <w:lang w:val="en-US" w:eastAsia="ja-JP"/>
        </w:rPr>
      </w:pPr>
      <w:r w:rsidRPr="00F74D59">
        <w:rPr>
          <w:lang w:val="en-US" w:eastAsia="ja-JP"/>
        </w:rPr>
        <w:t>What symbols within a slot for PDCCH monitoring?</w:t>
      </w:r>
    </w:p>
    <w:p w14:paraId="1553F032" w14:textId="77777777" w:rsidR="00F702BE" w:rsidRPr="00F74D59" w:rsidRDefault="00F702BE" w:rsidP="00F702BE">
      <w:pPr>
        <w:pStyle w:val="StyleListParagraph-BulletsLista11"/>
        <w:numPr>
          <w:ilvl w:val="0"/>
          <w:numId w:val="23"/>
        </w:numPr>
        <w:spacing w:after="160"/>
        <w:contextualSpacing/>
        <w:rPr>
          <w:lang w:val="en-US" w:eastAsia="ja-JP"/>
        </w:rPr>
      </w:pPr>
      <w:r w:rsidRPr="00F74D59">
        <w:rPr>
          <w:lang w:val="en-US" w:eastAsia="ja-JP"/>
        </w:rPr>
        <w:t xml:space="preserve">The BD/CCE budget </w:t>
      </w:r>
      <w:r>
        <w:rPr>
          <w:lang w:val="en-GB" w:eastAsia="ja-JP"/>
        </w:rPr>
        <w:t xml:space="preserve">requirement </w:t>
      </w:r>
      <w:r w:rsidRPr="00F74D59">
        <w:rPr>
          <w:lang w:val="en-US" w:eastAsia="ja-JP"/>
        </w:rPr>
        <w:t>for a slot</w:t>
      </w:r>
      <w:r>
        <w:rPr>
          <w:lang w:val="en-US" w:eastAsia="ja-JP"/>
        </w:rPr>
        <w:t>?</w:t>
      </w:r>
    </w:p>
    <w:p w14:paraId="50325CB2" w14:textId="77777777" w:rsidR="00F702BE" w:rsidRDefault="00F702BE" w:rsidP="00F702BE">
      <w:pPr>
        <w:jc w:val="both"/>
        <w:rPr>
          <w:lang w:val="en-GB" w:eastAsia="ja-JP"/>
        </w:rPr>
      </w:pPr>
      <w:r>
        <w:rPr>
          <w:lang w:val="en-GB" w:eastAsia="ja-JP"/>
        </w:rPr>
        <w:t xml:space="preserve">Companies thus proposed that per-slot PDCCH monitoring can be discussed in parallel to the above two multi-slot PDCCH monitoring cases. </w:t>
      </w:r>
    </w:p>
    <w:p w14:paraId="371AEAC9" w14:textId="77777777" w:rsidR="00F702BE" w:rsidRPr="00A86420" w:rsidRDefault="00F702BE" w:rsidP="00F702BE">
      <w:pPr>
        <w:jc w:val="both"/>
      </w:pPr>
      <w:r w:rsidRPr="00A86420">
        <w:t xml:space="preserve">Intra-slot </w:t>
      </w:r>
      <w:r>
        <w:rPr>
          <w:lang w:val="en-GB" w:eastAsia="ja-JP"/>
        </w:rPr>
        <w:t xml:space="preserve">PDCCH </w:t>
      </w:r>
      <w:r w:rsidRPr="00A86420">
        <w:t xml:space="preserve">monitoring case 2 capability was introduced to support mini slots (Type B PDSCH mapping) for the existing FR1/FR2 bands. However, as the following table shows, the slot duration for 480/960 kHz SCS </w:t>
      </w:r>
      <w:r w:rsidRPr="00A86420">
        <w:lastRenderedPageBreak/>
        <w:t xml:space="preserve">is very short to start with. The 480/960 kHz SCS slot duration is in fact comparable </w:t>
      </w:r>
      <w:r>
        <w:t xml:space="preserve">to or even shorter than </w:t>
      </w:r>
      <w:r w:rsidRPr="00A86420">
        <w:t>the duration of a 3-symbol mini-slot in 120 kHz SCS. Therefore, it is our view that there is no need to have such flexible monitoring within a slot.</w:t>
      </w:r>
    </w:p>
    <w:tbl>
      <w:tblPr>
        <w:tblStyle w:val="TableGrid"/>
        <w:tblW w:w="0" w:type="auto"/>
        <w:tblInd w:w="1345" w:type="dxa"/>
        <w:tblLook w:val="04A0" w:firstRow="1" w:lastRow="0" w:firstColumn="1" w:lastColumn="0" w:noHBand="0" w:noVBand="1"/>
      </w:tblPr>
      <w:tblGrid>
        <w:gridCol w:w="3055"/>
        <w:gridCol w:w="1170"/>
        <w:gridCol w:w="1171"/>
        <w:gridCol w:w="1170"/>
      </w:tblGrid>
      <w:tr w:rsidR="00F702BE" w:rsidRPr="00A86420" w14:paraId="1EEE4712" w14:textId="77777777" w:rsidTr="0079456D">
        <w:tc>
          <w:tcPr>
            <w:tcW w:w="3055" w:type="dxa"/>
            <w:tcBorders>
              <w:bottom w:val="double" w:sz="4" w:space="0" w:color="auto"/>
              <w:right w:val="double" w:sz="4" w:space="0" w:color="auto"/>
            </w:tcBorders>
            <w:vAlign w:val="bottom"/>
          </w:tcPr>
          <w:p w14:paraId="1EADFDDC"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SCS [kHz]</w:t>
            </w:r>
          </w:p>
        </w:tc>
        <w:tc>
          <w:tcPr>
            <w:tcW w:w="1170" w:type="dxa"/>
            <w:tcBorders>
              <w:left w:val="double" w:sz="4" w:space="0" w:color="auto"/>
              <w:bottom w:val="double" w:sz="4" w:space="0" w:color="auto"/>
            </w:tcBorders>
            <w:vAlign w:val="bottom"/>
          </w:tcPr>
          <w:p w14:paraId="13F0966C"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120</w:t>
            </w:r>
          </w:p>
        </w:tc>
        <w:tc>
          <w:tcPr>
            <w:tcW w:w="1171" w:type="dxa"/>
            <w:tcBorders>
              <w:bottom w:val="double" w:sz="4" w:space="0" w:color="auto"/>
            </w:tcBorders>
            <w:vAlign w:val="bottom"/>
          </w:tcPr>
          <w:p w14:paraId="0FC77B3D"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480</w:t>
            </w:r>
          </w:p>
        </w:tc>
        <w:tc>
          <w:tcPr>
            <w:tcW w:w="1170" w:type="dxa"/>
            <w:tcBorders>
              <w:bottom w:val="double" w:sz="4" w:space="0" w:color="auto"/>
            </w:tcBorders>
            <w:vAlign w:val="bottom"/>
          </w:tcPr>
          <w:p w14:paraId="72CF8A01"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960</w:t>
            </w:r>
          </w:p>
        </w:tc>
      </w:tr>
      <w:tr w:rsidR="00F702BE" w:rsidRPr="00A86420" w14:paraId="7F713C7B" w14:textId="77777777" w:rsidTr="0079456D">
        <w:tc>
          <w:tcPr>
            <w:tcW w:w="3055" w:type="dxa"/>
            <w:tcBorders>
              <w:top w:val="double" w:sz="4" w:space="0" w:color="auto"/>
              <w:right w:val="double" w:sz="4" w:space="0" w:color="auto"/>
            </w:tcBorders>
            <w:vAlign w:val="bottom"/>
          </w:tcPr>
          <w:p w14:paraId="36293703"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Slot duration [μs]</w:t>
            </w:r>
          </w:p>
        </w:tc>
        <w:tc>
          <w:tcPr>
            <w:tcW w:w="1170" w:type="dxa"/>
            <w:tcBorders>
              <w:top w:val="double" w:sz="4" w:space="0" w:color="auto"/>
              <w:left w:val="double" w:sz="4" w:space="0" w:color="auto"/>
            </w:tcBorders>
            <w:vAlign w:val="bottom"/>
          </w:tcPr>
          <w:p w14:paraId="66302DC7"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125</w:t>
            </w:r>
          </w:p>
        </w:tc>
        <w:tc>
          <w:tcPr>
            <w:tcW w:w="1171" w:type="dxa"/>
            <w:tcBorders>
              <w:top w:val="double" w:sz="4" w:space="0" w:color="auto"/>
              <w:bottom w:val="single" w:sz="4" w:space="0" w:color="auto"/>
            </w:tcBorders>
            <w:vAlign w:val="bottom"/>
          </w:tcPr>
          <w:p w14:paraId="61591444"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31.25</w:t>
            </w:r>
          </w:p>
        </w:tc>
        <w:tc>
          <w:tcPr>
            <w:tcW w:w="1170" w:type="dxa"/>
            <w:tcBorders>
              <w:top w:val="double" w:sz="4" w:space="0" w:color="auto"/>
              <w:bottom w:val="single" w:sz="4" w:space="0" w:color="auto"/>
            </w:tcBorders>
            <w:vAlign w:val="bottom"/>
          </w:tcPr>
          <w:p w14:paraId="316B60E7"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15.63</w:t>
            </w:r>
          </w:p>
        </w:tc>
      </w:tr>
      <w:tr w:rsidR="00F702BE" w:rsidRPr="00A86420" w14:paraId="12CA2A12" w14:textId="77777777" w:rsidTr="0079456D">
        <w:tc>
          <w:tcPr>
            <w:tcW w:w="3055" w:type="dxa"/>
            <w:tcBorders>
              <w:right w:val="double" w:sz="4" w:space="0" w:color="auto"/>
            </w:tcBorders>
          </w:tcPr>
          <w:p w14:paraId="362A2E39"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Duration of 3 symbols [μs]</w:t>
            </w:r>
          </w:p>
        </w:tc>
        <w:tc>
          <w:tcPr>
            <w:tcW w:w="1170" w:type="dxa"/>
            <w:tcBorders>
              <w:left w:val="double" w:sz="4" w:space="0" w:color="auto"/>
            </w:tcBorders>
          </w:tcPr>
          <w:p w14:paraId="0B3C1E25" w14:textId="77777777" w:rsidR="00F702BE" w:rsidRPr="00A86420" w:rsidRDefault="00F702BE" w:rsidP="0079456D">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26.8</w:t>
            </w:r>
          </w:p>
        </w:tc>
        <w:tc>
          <w:tcPr>
            <w:tcW w:w="1171" w:type="dxa"/>
            <w:tcBorders>
              <w:bottom w:val="nil"/>
              <w:right w:val="nil"/>
            </w:tcBorders>
          </w:tcPr>
          <w:p w14:paraId="1C5D3853" w14:textId="77777777" w:rsidR="00F702BE" w:rsidRPr="00A86420" w:rsidRDefault="00F702BE" w:rsidP="0079456D">
            <w:pPr>
              <w:pStyle w:val="BodyText"/>
              <w:spacing w:before="40" w:after="40"/>
              <w:jc w:val="center"/>
              <w:rPr>
                <w:rFonts w:eastAsiaTheme="minorEastAsia" w:cs="Arial"/>
                <w:color w:val="000000" w:themeColor="text1"/>
                <w:kern w:val="24"/>
              </w:rPr>
            </w:pPr>
          </w:p>
        </w:tc>
        <w:tc>
          <w:tcPr>
            <w:tcW w:w="1170" w:type="dxa"/>
            <w:tcBorders>
              <w:left w:val="nil"/>
              <w:bottom w:val="nil"/>
              <w:right w:val="nil"/>
            </w:tcBorders>
          </w:tcPr>
          <w:p w14:paraId="3F469B8C" w14:textId="77777777" w:rsidR="00F702BE" w:rsidRPr="00A86420" w:rsidRDefault="00F702BE" w:rsidP="0079456D">
            <w:pPr>
              <w:pStyle w:val="BodyText"/>
              <w:spacing w:before="40" w:after="40"/>
              <w:jc w:val="center"/>
              <w:rPr>
                <w:rFonts w:eastAsiaTheme="minorEastAsia" w:cs="Arial"/>
                <w:color w:val="000000" w:themeColor="text1"/>
                <w:kern w:val="24"/>
              </w:rPr>
            </w:pPr>
          </w:p>
        </w:tc>
      </w:tr>
    </w:tbl>
    <w:p w14:paraId="70BCB0B4" w14:textId="77777777" w:rsidR="00F702BE" w:rsidRDefault="00F702BE" w:rsidP="00B13279">
      <w:pPr>
        <w:spacing w:after="0"/>
        <w:jc w:val="both"/>
        <w:rPr>
          <w:lang w:val="en-GB" w:eastAsia="ja-JP"/>
        </w:rPr>
      </w:pPr>
    </w:p>
    <w:p w14:paraId="11D3E420" w14:textId="25EF3900" w:rsidR="00F702BE" w:rsidRDefault="00F702BE" w:rsidP="00F702BE">
      <w:pPr>
        <w:jc w:val="both"/>
        <w:rPr>
          <w:lang w:eastAsia="ja-JP"/>
        </w:rPr>
      </w:pPr>
      <w:r>
        <w:t xml:space="preserve">The central issue for </w:t>
      </w:r>
      <w:r>
        <w:rPr>
          <w:lang w:val="en-GB" w:eastAsia="ja-JP"/>
        </w:rPr>
        <w:t>per-slot PDCCH monitoring</w:t>
      </w:r>
      <w:r>
        <w:t xml:space="preserve"> is hence the </w:t>
      </w:r>
      <w:r w:rsidRPr="00F74D59">
        <w:rPr>
          <w:lang w:eastAsia="ja-JP"/>
        </w:rPr>
        <w:t>BD/CCE budget for a slot</w:t>
      </w:r>
      <w:r>
        <w:rPr>
          <w:lang w:eastAsia="ja-JP"/>
        </w:rPr>
        <w:t xml:space="preserve">, which as we pointed out in the above has not seen any progress in RAN1. </w:t>
      </w:r>
      <w:r w:rsidR="0050258B">
        <w:rPr>
          <w:lang w:eastAsia="ja-JP"/>
        </w:rPr>
        <w:t>Therefore, we propose</w:t>
      </w:r>
      <w:r w:rsidR="000B6FD6">
        <w:rPr>
          <w:lang w:eastAsia="ja-JP"/>
        </w:rPr>
        <w:t xml:space="preserve"> that if per-slot PDCCH monitoring is discussed the discussion must start with the BD/CCE budget. Furthermore, we observe that in Rel-15, the CCE budget is 32 for 120 kHz</w:t>
      </w:r>
      <w:r w:rsidR="001131DF">
        <w:rPr>
          <w:lang w:eastAsia="ja-JP"/>
        </w:rPr>
        <w:t>,</w:t>
      </w:r>
      <w:r w:rsidR="000B6FD6">
        <w:rPr>
          <w:lang w:eastAsia="ja-JP"/>
        </w:rPr>
        <w:t xml:space="preserve"> which is enough to cover (with a small margin) the requirements for monitoring Type0-PDCCH CSS (7 BDs / 28 CCEs). Hence, if </w:t>
      </w:r>
      <w:r w:rsidR="00BB72E3">
        <w:rPr>
          <w:lang w:eastAsia="ja-JP"/>
        </w:rPr>
        <w:t xml:space="preserve">optional </w:t>
      </w:r>
      <w:r w:rsidR="000B6FD6">
        <w:rPr>
          <w:lang w:eastAsia="ja-JP"/>
        </w:rPr>
        <w:t>per-slot monitoring is supported for 480/960 kHz, the BD/CCE budget can be no less than the 120 kHz value</w:t>
      </w:r>
      <w:r w:rsidR="001936F3">
        <w:rPr>
          <w:lang w:eastAsia="ja-JP"/>
        </w:rPr>
        <w:t>.</w:t>
      </w:r>
      <w:r w:rsidR="008F0A59">
        <w:rPr>
          <w:lang w:eastAsia="ja-JP"/>
        </w:rPr>
        <w:t xml:space="preserve"> Note further that companies motivated the introduction of the optional per-slot PDCCH monitoring </w:t>
      </w:r>
      <w:proofErr w:type="gramStart"/>
      <w:r w:rsidR="008F0A59">
        <w:rPr>
          <w:lang w:eastAsia="ja-JP"/>
        </w:rPr>
        <w:t>on the basis of</w:t>
      </w:r>
      <w:proofErr w:type="gramEnd"/>
      <w:r w:rsidR="008F0A59">
        <w:rPr>
          <w:lang w:eastAsia="ja-JP"/>
        </w:rPr>
        <w:t xml:space="preserve"> URLLC applications requiring very low latency. UEs supporting such URLCC applications should be expected to be equipped with enhanced and accelerated processing capabilities</w:t>
      </w:r>
      <w:r w:rsidR="000B6FD6">
        <w:rPr>
          <w:lang w:eastAsia="ja-JP"/>
        </w:rPr>
        <w:t>.</w:t>
      </w:r>
    </w:p>
    <w:p w14:paraId="1705BAF1" w14:textId="7E8C7AB8" w:rsidR="00F702BE" w:rsidRPr="009B33AA" w:rsidRDefault="00F702BE" w:rsidP="00F702BE">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11" w:name="_Toc83990565"/>
      <w:r>
        <w:t xml:space="preserve">For </w:t>
      </w:r>
      <w:r>
        <w:rPr>
          <w:rFonts w:eastAsiaTheme="minorEastAsia"/>
        </w:rPr>
        <w:t>operation with 480/960 kHz SCS</w:t>
      </w:r>
      <w:r>
        <w:t xml:space="preserve">, if </w:t>
      </w:r>
      <w:r w:rsidR="00E37448">
        <w:t xml:space="preserve">the optional </w:t>
      </w:r>
      <w:r>
        <w:t>per</w:t>
      </w:r>
      <w:r>
        <w:rPr>
          <w:lang w:val="en-GB" w:eastAsia="ja-JP"/>
        </w:rPr>
        <w:t xml:space="preserve">-slot PDCCH monitoring is discussed, the discussion in RAN1 should start with defining the </w:t>
      </w:r>
      <w:r w:rsidRPr="00F74D59">
        <w:rPr>
          <w:lang w:eastAsia="ja-JP"/>
        </w:rPr>
        <w:t>BD/CCE budget for a slot</w:t>
      </w:r>
      <w:r w:rsidR="000B6FD6">
        <w:rPr>
          <w:lang w:eastAsia="ja-JP"/>
        </w:rPr>
        <w:t xml:space="preserve"> while ensuring that Rel-15 Type0-PDCCH monitoring requirements can be met</w:t>
      </w:r>
      <w:r>
        <w:rPr>
          <w:lang w:eastAsia="ja-JP"/>
        </w:rPr>
        <w:t>.</w:t>
      </w:r>
      <w:bookmarkEnd w:id="11"/>
    </w:p>
    <w:p w14:paraId="51E1808C" w14:textId="70E4223A" w:rsidR="00F702BE" w:rsidRDefault="00F702BE" w:rsidP="00F702BE">
      <w:pPr>
        <w:pStyle w:val="BodyText"/>
        <w:rPr>
          <w:rFonts w:eastAsiaTheme="minorEastAsia"/>
        </w:rPr>
      </w:pPr>
    </w:p>
    <w:p w14:paraId="4B109CBC" w14:textId="77777777" w:rsidR="006F4F22" w:rsidRDefault="006F4F22" w:rsidP="006F4F22">
      <w:pPr>
        <w:pStyle w:val="BodyText"/>
        <w:rPr>
          <w:rFonts w:eastAsiaTheme="minorEastAsia"/>
        </w:rPr>
      </w:pPr>
      <w:r>
        <w:rPr>
          <w:rFonts w:eastAsiaTheme="minorEastAsia"/>
        </w:rPr>
        <w:t>In our view, the following three PDCCH monitoring cases are sufficient for operation with 480/960 kHz SCS:</w:t>
      </w:r>
    </w:p>
    <w:p w14:paraId="5759A83F" w14:textId="77777777" w:rsidR="006F4F22" w:rsidRDefault="006F4F22" w:rsidP="006F4F22">
      <w:pPr>
        <w:pStyle w:val="BodyText"/>
        <w:numPr>
          <w:ilvl w:val="0"/>
          <w:numId w:val="36"/>
        </w:numPr>
        <w:contextualSpacing/>
        <w:rPr>
          <w:rFonts w:eastAsiaTheme="minorEastAsia"/>
        </w:rPr>
      </w:pPr>
      <w:r w:rsidRPr="00A93200">
        <w:rPr>
          <w:rFonts w:eastAsiaTheme="minorEastAsia"/>
        </w:rPr>
        <w:t>X=4 for 480 kHz SCS</w:t>
      </w:r>
    </w:p>
    <w:p w14:paraId="25984B76" w14:textId="77777777" w:rsidR="006F4F22" w:rsidRDefault="006F4F22" w:rsidP="006F4F22">
      <w:pPr>
        <w:pStyle w:val="BodyText"/>
        <w:numPr>
          <w:ilvl w:val="0"/>
          <w:numId w:val="36"/>
        </w:numPr>
        <w:contextualSpacing/>
        <w:rPr>
          <w:rFonts w:eastAsiaTheme="minorEastAsia"/>
        </w:rPr>
      </w:pPr>
      <w:r w:rsidRPr="00A93200">
        <w:rPr>
          <w:rFonts w:eastAsiaTheme="minorEastAsia"/>
        </w:rPr>
        <w:t>X=8 for 960 kHz SCS</w:t>
      </w:r>
    </w:p>
    <w:p w14:paraId="5E93A7C9" w14:textId="6638C80A" w:rsidR="006F4F22" w:rsidRDefault="006C7B17" w:rsidP="006F4F22">
      <w:pPr>
        <w:pStyle w:val="BodyText"/>
        <w:numPr>
          <w:ilvl w:val="0"/>
          <w:numId w:val="36"/>
        </w:numPr>
        <w:contextualSpacing/>
        <w:rPr>
          <w:rFonts w:eastAsiaTheme="minorEastAsia"/>
        </w:rPr>
      </w:pPr>
      <w:r>
        <w:rPr>
          <w:rFonts w:eastAsiaTheme="minorEastAsia"/>
        </w:rPr>
        <w:t>Optional p</w:t>
      </w:r>
      <w:r w:rsidR="006F4F22">
        <w:rPr>
          <w:rFonts w:eastAsiaTheme="minorEastAsia"/>
        </w:rPr>
        <w:t>er-slot monitoring for 480/960 kHz SCS</w:t>
      </w:r>
    </w:p>
    <w:p w14:paraId="6198B384" w14:textId="77777777" w:rsidR="006F4F22" w:rsidRDefault="006F4F22" w:rsidP="006F4F22">
      <w:pPr>
        <w:jc w:val="both"/>
        <w:rPr>
          <w:rFonts w:eastAsiaTheme="minorEastAsia"/>
        </w:rPr>
      </w:pPr>
      <w:r>
        <w:rPr>
          <w:rFonts w:eastAsiaTheme="minorEastAsia"/>
        </w:rPr>
        <w:t>The same scheduling frequency and granularity as a 120 kHz SCS cell can be achieved w</w:t>
      </w:r>
      <w:proofErr w:type="spellStart"/>
      <w:r>
        <w:rPr>
          <w:lang w:val="en-GB" w:eastAsia="ja-JP"/>
        </w:rPr>
        <w:t>ith</w:t>
      </w:r>
      <w:proofErr w:type="spellEnd"/>
      <w:r>
        <w:rPr>
          <w:lang w:val="en-GB" w:eastAsia="ja-JP"/>
        </w:rPr>
        <w:t xml:space="preserve"> X&gt;1 multi-slot </w:t>
      </w:r>
      <w:r>
        <w:rPr>
          <w:rFonts w:eastAsiaTheme="minorEastAsia"/>
        </w:rPr>
        <w:t>PDCCH monitoring for 480/960 kHz SCS. For applications with low latency requirements, per-slot PDCCH monitoring with 480/960 kHz SCS can meet the same low latency achievable with mini-slots on a 120 kHz SCS cell. Furthermore, RAN1 has only agreed processing latency requirements on N1/N2/N3/Z1/Z2/Z3 for 480/960 kHz SCS that are multiples of the processing latency requirements for 120 kHz SCS. There has been no evidence or evaluation results to indicate the additional benefits of introducing other window sizes other than the above three PDCCH monitoring cases for 480/960 kHz SCS. Therefore, we propose</w:t>
      </w:r>
    </w:p>
    <w:p w14:paraId="3A2BC591" w14:textId="77777777" w:rsidR="006F4F22" w:rsidRDefault="006F4F22" w:rsidP="006F4F22">
      <w:pPr>
        <w:pStyle w:val="Proposal"/>
      </w:pPr>
      <w:bookmarkStart w:id="12" w:name="_Toc83990566"/>
      <w:r>
        <w:t xml:space="preserve">Multi-slot PDCCH monitoring window sizes X&gt;1 other than </w:t>
      </w:r>
      <w:r w:rsidRPr="00A93200">
        <w:rPr>
          <w:rFonts w:eastAsiaTheme="minorEastAsia"/>
        </w:rPr>
        <w:t>X=4 for 480 kHz SCS and X=8 for 960 kHz SCS</w:t>
      </w:r>
      <w:r>
        <w:rPr>
          <w:rFonts w:eastAsiaTheme="minorEastAsia"/>
        </w:rPr>
        <w:t xml:space="preserve"> </w:t>
      </w:r>
      <w:proofErr w:type="gramStart"/>
      <w:r>
        <w:rPr>
          <w:rFonts w:eastAsiaTheme="minorEastAsia"/>
        </w:rPr>
        <w:t>are</w:t>
      </w:r>
      <w:proofErr w:type="gramEnd"/>
      <w:r>
        <w:rPr>
          <w:rFonts w:eastAsiaTheme="minorEastAsia"/>
        </w:rPr>
        <w:t xml:space="preserve"> not supported for Rel-17</w:t>
      </w:r>
      <w:r>
        <w:t>.</w:t>
      </w:r>
      <w:bookmarkEnd w:id="12"/>
    </w:p>
    <w:p w14:paraId="0A7BD982" w14:textId="77777777" w:rsidR="009D52EF" w:rsidRPr="009D52EF" w:rsidRDefault="009D52EF" w:rsidP="009D52EF">
      <w:pPr>
        <w:rPr>
          <w:lang w:val="en-GB" w:eastAsia="ja-JP"/>
        </w:rPr>
      </w:pPr>
    </w:p>
    <w:p w14:paraId="0F58DD50" w14:textId="3EC5C2D2" w:rsidR="00BB5FDB" w:rsidRDefault="00BB5FDB" w:rsidP="00BB5FDB">
      <w:pPr>
        <w:pStyle w:val="Heading2"/>
      </w:pPr>
      <w:r>
        <w:t>2.</w:t>
      </w:r>
      <w:r w:rsidR="00AE7C89">
        <w:t>2</w:t>
      </w:r>
      <w:r>
        <w:tab/>
        <w:t xml:space="preserve">TDD UL/DL configuration for </w:t>
      </w:r>
      <w:r w:rsidR="00662778">
        <w:t>FR2-2</w:t>
      </w:r>
      <w:r>
        <w:t xml:space="preserve"> and alignment with UE multi-slot PDCCH monitoring capability windows</w:t>
      </w:r>
    </w:p>
    <w:p w14:paraId="644290B3" w14:textId="28CFC187" w:rsidR="0036111F" w:rsidRDefault="0036111F" w:rsidP="005E1639">
      <w:pPr>
        <w:jc w:val="both"/>
        <w:rPr>
          <w:rFonts w:eastAsiaTheme="minorEastAsia"/>
          <w:lang w:val="en-GB" w:eastAsia="ja-JP"/>
        </w:rPr>
      </w:pPr>
      <w:r>
        <w:rPr>
          <w:lang w:val="en-GB" w:eastAsia="ja-JP"/>
        </w:rPr>
        <w:t xml:space="preserve">In Rel-16, </w:t>
      </w:r>
      <w:r w:rsidRPr="0036111F">
        <w:rPr>
          <w:lang w:val="en-GB" w:eastAsia="ja-JP"/>
        </w:rPr>
        <w:t>TDD</w:t>
      </w:r>
      <w:r w:rsidR="000C7068">
        <w:rPr>
          <w:lang w:val="en-GB" w:eastAsia="ja-JP"/>
        </w:rPr>
        <w:t xml:space="preserve"> UL/DL configuration is </w:t>
      </w:r>
      <w:r w:rsidR="00672BE8">
        <w:rPr>
          <w:lang w:val="en-GB" w:eastAsia="ja-JP"/>
        </w:rPr>
        <w:t xml:space="preserve">based on a reference SCS,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sidR="00672BE8">
        <w:rPr>
          <w:rFonts w:eastAsiaTheme="minorEastAsia"/>
          <w:lang w:val="en-GB" w:eastAsia="ja-JP"/>
        </w:rPr>
        <w:t>, and one or two UL/DL patterns</w:t>
      </w:r>
      <w:r w:rsidR="009B7F65">
        <w:rPr>
          <w:rFonts w:eastAsiaTheme="minorEastAsia"/>
          <w:lang w:val="en-GB" w:eastAsia="ja-JP"/>
        </w:rPr>
        <w:t xml:space="preserve"> (pattern1 and pattern2)</w:t>
      </w:r>
      <w:r w:rsidR="00672BE8">
        <w:rPr>
          <w:rFonts w:eastAsiaTheme="minorEastAsia"/>
          <w:lang w:val="en-GB" w:eastAsia="ja-JP"/>
        </w:rPr>
        <w:t>:</w:t>
      </w:r>
    </w:p>
    <w:p w14:paraId="4DBE20A9" w14:textId="13034431" w:rsidR="008C1F7F" w:rsidRDefault="008C1F7F" w:rsidP="008C1F7F">
      <w:pPr>
        <w:shd w:val="clear" w:color="auto" w:fill="E7E6E6" w:themeFill="background2"/>
        <w:tabs>
          <w:tab w:val="left" w:pos="3960"/>
          <w:tab w:val="left" w:pos="6840"/>
        </w:tabs>
        <w:spacing w:before="160" w:after="0"/>
        <w:ind w:left="562"/>
        <w:rPr>
          <w:lang w:val="en-GB" w:eastAsia="ja-JP"/>
        </w:rPr>
      </w:pPr>
      <w:proofErr w:type="spellStart"/>
      <w:r w:rsidRPr="008C1F7F">
        <w:rPr>
          <w:lang w:val="en-GB" w:eastAsia="ja-JP"/>
        </w:rPr>
        <w:t>referenceSubcarrierSpacing</w:t>
      </w:r>
      <w:proofErr w:type="spellEnd"/>
      <w:r>
        <w:rPr>
          <w:lang w:val="en-GB" w:eastAsia="ja-JP"/>
        </w:rPr>
        <w:tab/>
      </w:r>
      <w:proofErr w:type="spellStart"/>
      <w:r w:rsidRPr="008C1F7F">
        <w:rPr>
          <w:lang w:val="en-GB" w:eastAsia="ja-JP"/>
        </w:rPr>
        <w:t>SubcarrierSpacing</w:t>
      </w:r>
      <w:proofErr w:type="spellEnd"/>
      <w:r w:rsidRPr="008C1F7F">
        <w:rPr>
          <w:lang w:val="en-GB" w:eastAsia="ja-JP"/>
        </w:rPr>
        <w:t xml:space="preserve">, </w:t>
      </w:r>
    </w:p>
    <w:p w14:paraId="6B8BFCD4" w14:textId="7EF3AAE2" w:rsidR="008C1F7F" w:rsidRDefault="008C1F7F" w:rsidP="008C1F7F">
      <w:pPr>
        <w:shd w:val="clear" w:color="auto" w:fill="E7E6E6" w:themeFill="background2"/>
        <w:tabs>
          <w:tab w:val="left" w:pos="3960"/>
          <w:tab w:val="left" w:pos="6840"/>
        </w:tabs>
        <w:spacing w:after="0"/>
        <w:ind w:left="562"/>
        <w:rPr>
          <w:lang w:val="en-GB" w:eastAsia="ja-JP"/>
        </w:rPr>
      </w:pPr>
      <w:r w:rsidRPr="008C1F7F">
        <w:rPr>
          <w:lang w:val="en-GB" w:eastAsia="ja-JP"/>
        </w:rPr>
        <w:t>pattern1</w:t>
      </w:r>
      <w:r>
        <w:rPr>
          <w:lang w:val="en-GB" w:eastAsia="ja-JP"/>
        </w:rPr>
        <w:tab/>
      </w:r>
      <w:r w:rsidRPr="008C1F7F">
        <w:rPr>
          <w:lang w:val="en-GB" w:eastAsia="ja-JP"/>
        </w:rPr>
        <w:t xml:space="preserve">TDD-UL-DL-Pattern, </w:t>
      </w:r>
    </w:p>
    <w:p w14:paraId="56E06442" w14:textId="20855DF9" w:rsidR="00672BE8" w:rsidRDefault="008C1F7F" w:rsidP="008C1F7F">
      <w:pPr>
        <w:shd w:val="clear" w:color="auto" w:fill="E7E6E6" w:themeFill="background2"/>
        <w:tabs>
          <w:tab w:val="left" w:pos="3960"/>
          <w:tab w:val="left" w:pos="6840"/>
        </w:tabs>
        <w:ind w:left="567"/>
        <w:rPr>
          <w:lang w:val="en-GB" w:eastAsia="ja-JP"/>
        </w:rPr>
      </w:pPr>
      <w:r w:rsidRPr="008C1F7F">
        <w:rPr>
          <w:lang w:val="en-GB" w:eastAsia="ja-JP"/>
        </w:rPr>
        <w:t>pattern2</w:t>
      </w:r>
      <w:r>
        <w:rPr>
          <w:lang w:val="en-GB" w:eastAsia="ja-JP"/>
        </w:rPr>
        <w:tab/>
      </w:r>
      <w:r w:rsidRPr="008C1F7F">
        <w:rPr>
          <w:lang w:val="en-GB" w:eastAsia="ja-JP"/>
        </w:rPr>
        <w:t>TDD-UL-DL-Pattern</w:t>
      </w:r>
      <w:r>
        <w:rPr>
          <w:lang w:val="en-GB" w:eastAsia="ja-JP"/>
        </w:rPr>
        <w:tab/>
      </w:r>
      <w:r w:rsidRPr="008C1F7F">
        <w:rPr>
          <w:lang w:val="en-GB" w:eastAsia="ja-JP"/>
        </w:rPr>
        <w:t>OPTIONAL, -- Need R</w:t>
      </w:r>
    </w:p>
    <w:p w14:paraId="69A35018" w14:textId="0D8B297D" w:rsidR="008C1F7F" w:rsidRDefault="00483131" w:rsidP="00010C97">
      <w:pPr>
        <w:rPr>
          <w:rFonts w:eastAsiaTheme="minorEastAsia"/>
          <w:lang w:val="en-GB" w:eastAsia="ja-JP"/>
        </w:rPr>
      </w:pPr>
      <w:r>
        <w:rPr>
          <w:rFonts w:eastAsiaTheme="minorEastAsia"/>
          <w:lang w:val="en-GB" w:eastAsia="ja-JP"/>
        </w:rPr>
        <w:t>Furthermore,</w:t>
      </w:r>
    </w:p>
    <w:p w14:paraId="19860320" w14:textId="2573BCB8" w:rsidR="00483131" w:rsidRDefault="00483131" w:rsidP="00483131">
      <w:pPr>
        <w:ind w:left="567"/>
        <w:rPr>
          <w:lang w:val="en-GB" w:eastAsia="ja-JP"/>
        </w:rPr>
      </w:pPr>
      <w:r w:rsidRPr="00483131">
        <w:rPr>
          <w:lang w:val="en-GB" w:eastAsia="ja-JP"/>
        </w:rPr>
        <w:t xml:space="preserve">A UE expects that the reference SCS configuration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sidRPr="00483131">
        <w:rPr>
          <w:lang w:val="en-GB" w:eastAsia="ja-JP"/>
        </w:rPr>
        <w:t xml:space="preserve"> is smaller than or equal to a SCS configuration </w:t>
      </w:r>
      <m:oMath>
        <m:r>
          <w:rPr>
            <w:rFonts w:ascii="Cambria Math" w:hAnsi="Cambria Math"/>
            <w:lang w:val="en-GB" w:eastAsia="ja-JP"/>
          </w:rPr>
          <m:t>μ</m:t>
        </m:r>
      </m:oMath>
      <w:r w:rsidRPr="00483131">
        <w:rPr>
          <w:lang w:val="en-GB" w:eastAsia="ja-JP"/>
        </w:rPr>
        <w:t xml:space="preserve"> for any</w:t>
      </w:r>
      <w:r>
        <w:rPr>
          <w:lang w:val="en-GB" w:eastAsia="ja-JP"/>
        </w:rPr>
        <w:t xml:space="preserve"> </w:t>
      </w:r>
      <w:r w:rsidRPr="00483131">
        <w:rPr>
          <w:lang w:val="en-GB" w:eastAsia="ja-JP"/>
        </w:rPr>
        <w:t>configured DL BWP or UL BWP.</w:t>
      </w:r>
    </w:p>
    <w:p w14:paraId="730979FA" w14:textId="6AB7C293" w:rsidR="008C1F7F" w:rsidRDefault="00F8492F" w:rsidP="00CA2FA6">
      <w:pPr>
        <w:jc w:val="both"/>
        <w:rPr>
          <w:lang w:val="en-GB" w:eastAsia="ja-JP"/>
        </w:rPr>
      </w:pPr>
      <w:r>
        <w:rPr>
          <w:lang w:val="en-GB" w:eastAsia="ja-JP"/>
        </w:rPr>
        <w:lastRenderedPageBreak/>
        <w:t>Th</w:t>
      </w:r>
      <w:r w:rsidR="009B7F65">
        <w:rPr>
          <w:lang w:val="en-GB" w:eastAsia="ja-JP"/>
        </w:rPr>
        <w:t xml:space="preserve">erefore, </w:t>
      </w:r>
      <w:r w:rsidR="00460B3E">
        <w:rPr>
          <w:lang w:val="en-GB" w:eastAsia="ja-JP"/>
        </w:rPr>
        <w:t>e</w:t>
      </w:r>
      <w:r w:rsidR="009B7F65" w:rsidRPr="009B7F65">
        <w:rPr>
          <w:lang w:val="en-GB" w:eastAsia="ja-JP"/>
        </w:rPr>
        <w:t xml:space="preserve">ach slot provided by pattern1 or pattern2 is applicable to </w:t>
      </w:r>
      <m:oMath>
        <m:sSup>
          <m:sSupPr>
            <m:ctrlPr>
              <w:rPr>
                <w:rFonts w:ascii="Cambria Math" w:hAnsi="Cambria Math"/>
                <w:i/>
                <w:lang w:val="en-GB" w:eastAsia="ja-JP"/>
              </w:rPr>
            </m:ctrlPr>
          </m:sSupPr>
          <m:e>
            <m:r>
              <w:rPr>
                <w:rFonts w:ascii="Cambria Math" w:hAnsi="Cambria Math"/>
                <w:lang w:val="en-GB" w:eastAsia="ja-JP"/>
              </w:rPr>
              <m:t>2</m:t>
            </m:r>
          </m:e>
          <m:sup>
            <m:r>
              <w:rPr>
                <w:rFonts w:ascii="Cambria Math" w:hAnsi="Cambria Math"/>
                <w:lang w:val="en-GB" w:eastAsia="ja-JP"/>
              </w:rPr>
              <m:t>(μ-</m:t>
            </m:r>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r>
              <w:rPr>
                <w:rFonts w:ascii="Cambria Math" w:hAnsi="Cambria Math"/>
                <w:lang w:val="en-GB" w:eastAsia="ja-JP"/>
              </w:rPr>
              <m:t>)</m:t>
            </m:r>
          </m:sup>
        </m:sSup>
      </m:oMath>
      <w:r w:rsidR="009B7F65" w:rsidRPr="009B7F65">
        <w:rPr>
          <w:lang w:val="en-GB" w:eastAsia="ja-JP"/>
        </w:rPr>
        <w:t xml:space="preserve"> consecutive slots</w:t>
      </w:r>
      <w:r w:rsidR="00460B3E">
        <w:rPr>
          <w:lang w:val="en-GB" w:eastAsia="ja-JP"/>
        </w:rPr>
        <w:t xml:space="preserve"> </w:t>
      </w:r>
      <w:r w:rsidR="009B7F65" w:rsidRPr="009B7F65">
        <w:rPr>
          <w:lang w:val="en-GB" w:eastAsia="ja-JP"/>
        </w:rPr>
        <w:t>in the active DL BWP or the active UL BWP where the first slot starts at a same time as a first slot for the reference</w:t>
      </w:r>
      <w:r w:rsidR="00D22012">
        <w:rPr>
          <w:lang w:val="en-GB" w:eastAsia="ja-JP"/>
        </w:rPr>
        <w:t xml:space="preserve"> </w:t>
      </w:r>
      <w:r w:rsidR="009B7F65" w:rsidRPr="009B7F65">
        <w:rPr>
          <w:lang w:val="en-GB" w:eastAsia="ja-JP"/>
        </w:rPr>
        <w:t xml:space="preserve">SCS configuration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sidR="009B7F65" w:rsidRPr="009B7F65">
        <w:rPr>
          <w:lang w:val="en-GB" w:eastAsia="ja-JP"/>
        </w:rPr>
        <w:t xml:space="preserve"> and each downlink or flexible or uplink symbol for the reference SCS configuration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sidR="00793381">
        <w:rPr>
          <w:rFonts w:eastAsiaTheme="minorEastAsia"/>
          <w:lang w:val="en-GB" w:eastAsia="ja-JP"/>
        </w:rPr>
        <w:t xml:space="preserve"> </w:t>
      </w:r>
      <w:r w:rsidR="009B7F65" w:rsidRPr="009B7F65">
        <w:rPr>
          <w:lang w:val="en-GB" w:eastAsia="ja-JP"/>
        </w:rPr>
        <w:t xml:space="preserve">corresponds to </w:t>
      </w:r>
      <m:oMath>
        <m:sSup>
          <m:sSupPr>
            <m:ctrlPr>
              <w:rPr>
                <w:rFonts w:ascii="Cambria Math" w:hAnsi="Cambria Math"/>
                <w:i/>
                <w:lang w:val="en-GB" w:eastAsia="ja-JP"/>
              </w:rPr>
            </m:ctrlPr>
          </m:sSupPr>
          <m:e>
            <m:r>
              <w:rPr>
                <w:rFonts w:ascii="Cambria Math" w:hAnsi="Cambria Math"/>
                <w:lang w:val="en-GB" w:eastAsia="ja-JP"/>
              </w:rPr>
              <m:t>2</m:t>
            </m:r>
          </m:e>
          <m:sup>
            <m:r>
              <w:rPr>
                <w:rFonts w:ascii="Cambria Math" w:hAnsi="Cambria Math"/>
                <w:lang w:val="en-GB" w:eastAsia="ja-JP"/>
              </w:rPr>
              <m:t>(μ-</m:t>
            </m:r>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r>
              <w:rPr>
                <w:rFonts w:ascii="Cambria Math" w:hAnsi="Cambria Math"/>
                <w:lang w:val="en-GB" w:eastAsia="ja-JP"/>
              </w:rPr>
              <m:t>)</m:t>
            </m:r>
          </m:sup>
        </m:sSup>
      </m:oMath>
      <w:r w:rsidR="009B7F65" w:rsidRPr="009B7F65">
        <w:rPr>
          <w:lang w:val="en-GB" w:eastAsia="ja-JP"/>
        </w:rPr>
        <w:t xml:space="preserve"> consecutive downlink or flexible or uplink symbols for the SCS configuration </w:t>
      </w:r>
      <m:oMath>
        <m:r>
          <w:rPr>
            <w:rFonts w:ascii="Cambria Math" w:hAnsi="Cambria Math"/>
            <w:lang w:val="en-GB" w:eastAsia="ja-JP"/>
          </w:rPr>
          <m:t>μ</m:t>
        </m:r>
      </m:oMath>
      <w:r w:rsidR="009B7F65" w:rsidRPr="009B7F65">
        <w:rPr>
          <w:lang w:val="en-GB" w:eastAsia="ja-JP"/>
        </w:rPr>
        <w:t>.</w:t>
      </w:r>
    </w:p>
    <w:p w14:paraId="55A37421" w14:textId="50CFB5E4" w:rsidR="003A6185" w:rsidRDefault="003A6185" w:rsidP="00B23A28">
      <w:pPr>
        <w:jc w:val="both"/>
        <w:rPr>
          <w:lang w:val="en-GB" w:eastAsia="ja-JP"/>
        </w:rPr>
      </w:pPr>
      <w:r>
        <w:rPr>
          <w:lang w:val="en-GB" w:eastAsia="ja-JP"/>
        </w:rPr>
        <w:t xml:space="preserve">For FR2, the reference SCS,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Pr>
          <w:rFonts w:eastAsiaTheme="minorEastAsia"/>
          <w:lang w:val="en-GB" w:eastAsia="ja-JP"/>
        </w:rPr>
        <w:t>, is 60 or 120 kHz.</w:t>
      </w:r>
      <w:r w:rsidR="002270A8">
        <w:rPr>
          <w:rFonts w:eastAsiaTheme="minorEastAsia"/>
          <w:lang w:val="en-GB" w:eastAsia="ja-JP"/>
        </w:rPr>
        <w:t xml:space="preserve"> Since it has been agreed to support 120, 480 or 960 kHz SCS for </w:t>
      </w:r>
      <w:r w:rsidR="002270A8">
        <w:rPr>
          <w:lang w:val="en-GB"/>
        </w:rPr>
        <w:t xml:space="preserve">NR operation in 52.6 – 71 GHz, the existing </w:t>
      </w:r>
      <w:r w:rsidR="00CA2FA6">
        <w:rPr>
          <w:lang w:val="en-GB"/>
        </w:rPr>
        <w:t xml:space="preserve">FR2 </w:t>
      </w:r>
      <w:r w:rsidR="00CA2FA6" w:rsidRPr="0036111F">
        <w:rPr>
          <w:lang w:val="en-GB" w:eastAsia="ja-JP"/>
        </w:rPr>
        <w:t>TDD</w:t>
      </w:r>
      <w:r w:rsidR="00CA2FA6">
        <w:rPr>
          <w:lang w:val="en-GB" w:eastAsia="ja-JP"/>
        </w:rPr>
        <w:t xml:space="preserve"> UL/DL configuration using either </w:t>
      </w:r>
      <w:r w:rsidR="00CA2FA6">
        <w:rPr>
          <w:rFonts w:eastAsiaTheme="minorEastAsia"/>
          <w:lang w:val="en-GB" w:eastAsia="ja-JP"/>
        </w:rPr>
        <w:t xml:space="preserve">60 or 120 kHz as the </w:t>
      </w:r>
      <w:r w:rsidR="00CA2FA6" w:rsidRPr="00483131">
        <w:rPr>
          <w:lang w:val="en-GB" w:eastAsia="ja-JP"/>
        </w:rPr>
        <w:t>reference SCS</w:t>
      </w:r>
      <w:r w:rsidR="009B1F65">
        <w:rPr>
          <w:lang w:val="en-GB" w:eastAsia="ja-JP"/>
        </w:rPr>
        <w:t xml:space="preserve"> </w:t>
      </w:r>
      <w:r w:rsidR="00D53816">
        <w:rPr>
          <w:lang w:val="en-GB" w:eastAsia="ja-JP"/>
        </w:rPr>
        <w:t>can be reused.</w:t>
      </w:r>
      <w:r w:rsidR="00297A0C">
        <w:rPr>
          <w:lang w:val="en-GB" w:eastAsia="ja-JP"/>
        </w:rPr>
        <w:t xml:space="preserve"> Under such framework, there is no </w:t>
      </w:r>
      <w:r w:rsidR="00C37D54">
        <w:rPr>
          <w:lang w:val="en-GB" w:eastAsia="ja-JP"/>
        </w:rPr>
        <w:t>issue of whether there can be misa</w:t>
      </w:r>
      <w:r w:rsidR="00CA2AA7">
        <w:rPr>
          <w:lang w:val="en-GB" w:eastAsia="ja-JP"/>
        </w:rPr>
        <w:t>ligned UL/DL directions within the duration of a 120 kHz SCS symbol.</w:t>
      </w:r>
    </w:p>
    <w:p w14:paraId="6BF9D6F1" w14:textId="7DBB68DB" w:rsidR="003A6185" w:rsidRDefault="00C40A7E" w:rsidP="003A6185">
      <w:pPr>
        <w:pStyle w:val="Observation"/>
      </w:pPr>
      <w:bookmarkStart w:id="13" w:name="_Toc83990422"/>
      <w:r>
        <w:t xml:space="preserve">The existing </w:t>
      </w:r>
      <w:r w:rsidRPr="0036111F">
        <w:rPr>
          <w:lang w:val="en-GB"/>
        </w:rPr>
        <w:t>TDD</w:t>
      </w:r>
      <w:r>
        <w:rPr>
          <w:lang w:val="en-GB"/>
        </w:rPr>
        <w:t xml:space="preserve"> UL/DL configuration mechanism for FR2 </w:t>
      </w:r>
      <w:r w:rsidR="00F84131">
        <w:rPr>
          <w:lang w:val="en-GB"/>
        </w:rPr>
        <w:t xml:space="preserve">(using </w:t>
      </w:r>
      <w:r w:rsidR="00F84131">
        <w:rPr>
          <w:rFonts w:eastAsiaTheme="minorEastAsia"/>
          <w:lang w:val="en-GB"/>
        </w:rPr>
        <w:t>60 or 120 kHz reference SCS</w:t>
      </w:r>
      <w:r w:rsidR="00F84131">
        <w:rPr>
          <w:lang w:val="en-GB"/>
        </w:rPr>
        <w:t xml:space="preserve">) </w:t>
      </w:r>
      <w:r>
        <w:rPr>
          <w:lang w:val="en-GB"/>
        </w:rPr>
        <w:t>can support the TDD UL/DL configuration for NR operation in 52.6 – 71 GHz</w:t>
      </w:r>
      <w:r w:rsidR="003A6185">
        <w:t>.</w:t>
      </w:r>
      <w:bookmarkEnd w:id="13"/>
    </w:p>
    <w:p w14:paraId="0044861E" w14:textId="650B8844" w:rsidR="00C40A7E" w:rsidRDefault="00C40A7E" w:rsidP="00AD6781">
      <w:pPr>
        <w:rPr>
          <w:lang w:val="en-GB" w:eastAsia="ja-JP"/>
        </w:rPr>
      </w:pPr>
    </w:p>
    <w:p w14:paraId="7680FF8A" w14:textId="77777777" w:rsidR="00C81630" w:rsidRDefault="00CB681A" w:rsidP="00267D98">
      <w:pPr>
        <w:jc w:val="both"/>
      </w:pPr>
      <w:r>
        <w:rPr>
          <w:lang w:val="en-GB" w:eastAsia="ja-JP"/>
        </w:rPr>
        <w:t xml:space="preserve">For the three </w:t>
      </w:r>
      <w:r>
        <w:t>UE multi-slot PDCCH processing capabilit</w:t>
      </w:r>
      <w:r w:rsidR="001B469D">
        <w:t>y definitions to be discussed below, there is a need to clearly define the locations of the monitoring window</w:t>
      </w:r>
      <w:r w:rsidR="00C81630">
        <w:t xml:space="preserve">s. </w:t>
      </w:r>
    </w:p>
    <w:p w14:paraId="5E25AF66" w14:textId="18698AEC" w:rsidR="00CB681A" w:rsidRDefault="00C81630" w:rsidP="00267D98">
      <w:pPr>
        <w:jc w:val="both"/>
        <w:rPr>
          <w:rFonts w:eastAsiaTheme="minorEastAsia"/>
          <w:lang w:val="en-GB" w:eastAsia="ja-JP"/>
        </w:rPr>
      </w:pPr>
      <w:r>
        <w:rPr>
          <w:lang w:val="en-GB" w:eastAsia="ja-JP"/>
        </w:rPr>
        <w:t>In the TDD UL/DL configuration, i</w:t>
      </w:r>
      <w:r w:rsidR="000C02E4">
        <w:rPr>
          <w:lang w:val="en-GB" w:eastAsia="ja-JP"/>
        </w:rPr>
        <w:t>f only one pattern is configured, t</w:t>
      </w:r>
      <w:r w:rsidR="006849A3">
        <w:rPr>
          <w:lang w:val="en-GB" w:eastAsia="ja-JP"/>
        </w:rPr>
        <w:t>he periodicit</w:t>
      </w:r>
      <w:r w:rsidR="000C02E4">
        <w:rPr>
          <w:lang w:val="en-GB" w:eastAsia="ja-JP"/>
        </w:rPr>
        <w:t>y</w:t>
      </w:r>
      <w:r w:rsidR="006849A3">
        <w:rPr>
          <w:lang w:val="en-GB" w:eastAsia="ja-JP"/>
        </w:rPr>
        <w:t xml:space="preserve"> of pattern1 </w:t>
      </w:r>
      <w:r w:rsidR="00E32367">
        <w:rPr>
          <w:lang w:val="en-GB" w:eastAsia="ja-JP"/>
        </w:rPr>
        <w:t xml:space="preserve">shall divide 20 </w:t>
      </w:r>
      <w:proofErr w:type="spellStart"/>
      <w:r w:rsidR="00E32367">
        <w:rPr>
          <w:lang w:val="en-GB" w:eastAsia="ja-JP"/>
        </w:rPr>
        <w:t>ms</w:t>
      </w:r>
      <w:proofErr w:type="spellEnd"/>
      <w:r w:rsidR="00E32367">
        <w:rPr>
          <w:lang w:val="en-GB" w:eastAsia="ja-JP"/>
        </w:rPr>
        <w:t xml:space="preserve"> evenly. If two patterns are configured, the </w:t>
      </w:r>
      <w:r w:rsidR="00267D98">
        <w:rPr>
          <w:lang w:val="en-GB" w:eastAsia="ja-JP"/>
        </w:rPr>
        <w:t xml:space="preserve">sum of the periodicities of both patterns shall divide 20 </w:t>
      </w:r>
      <w:proofErr w:type="spellStart"/>
      <w:r w:rsidR="00267D98">
        <w:rPr>
          <w:lang w:val="en-GB" w:eastAsia="ja-JP"/>
        </w:rPr>
        <w:t>ms</w:t>
      </w:r>
      <w:proofErr w:type="spellEnd"/>
      <w:r w:rsidR="00267D98">
        <w:rPr>
          <w:lang w:val="en-GB" w:eastAsia="ja-JP"/>
        </w:rPr>
        <w:t xml:space="preserve"> evenly. As a result, the first symbol </w:t>
      </w:r>
      <w:r w:rsidR="00FB5152">
        <w:rPr>
          <w:lang w:val="en-GB" w:eastAsia="ja-JP"/>
        </w:rPr>
        <w:t xml:space="preserve">of every </w:t>
      </w:r>
      <m:oMath>
        <m:r>
          <w:rPr>
            <w:rFonts w:ascii="Cambria Math" w:hAnsi="Cambria Math"/>
            <w:lang w:val="en-GB" w:eastAsia="ja-JP"/>
          </w:rPr>
          <m:t>20/P</m:t>
        </m:r>
      </m:oMath>
      <w:r w:rsidR="00FB5152">
        <w:rPr>
          <w:rFonts w:eastAsiaTheme="minorEastAsia"/>
          <w:lang w:val="en-GB" w:eastAsia="ja-JP"/>
        </w:rPr>
        <w:t xml:space="preserve"> period when only one pattern is configured </w:t>
      </w:r>
      <w:r w:rsidR="00575BC8">
        <w:rPr>
          <w:rFonts w:eastAsiaTheme="minorEastAsia"/>
          <w:lang w:val="en-GB" w:eastAsia="ja-JP"/>
        </w:rPr>
        <w:t xml:space="preserve">or every </w:t>
      </w:r>
      <m:oMath>
        <m:r>
          <w:rPr>
            <w:rFonts w:ascii="Cambria Math" w:eastAsiaTheme="minorEastAsia" w:hAnsi="Cambria Math"/>
            <w:lang w:val="en-GB" w:eastAsia="ja-JP"/>
          </w:rPr>
          <m:t>20/(P+</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P</m:t>
            </m:r>
          </m:e>
          <m:sub>
            <m:r>
              <w:rPr>
                <w:rFonts w:ascii="Cambria Math" w:eastAsiaTheme="minorEastAsia" w:hAnsi="Cambria Math"/>
                <w:lang w:val="en-GB" w:eastAsia="ja-JP"/>
              </w:rPr>
              <m:t>2</m:t>
            </m:r>
          </m:sub>
        </m:sSub>
        <m:r>
          <w:rPr>
            <w:rFonts w:ascii="Cambria Math" w:eastAsiaTheme="minorEastAsia" w:hAnsi="Cambria Math"/>
            <w:lang w:val="en-GB" w:eastAsia="ja-JP"/>
          </w:rPr>
          <m:t>)</m:t>
        </m:r>
      </m:oMath>
      <w:r w:rsidR="00575BC8">
        <w:rPr>
          <w:rFonts w:eastAsiaTheme="minorEastAsia"/>
          <w:lang w:val="en-GB" w:eastAsia="ja-JP"/>
        </w:rPr>
        <w:t xml:space="preserve"> period when two patterns are configured </w:t>
      </w:r>
      <w:r w:rsidR="001B5F29">
        <w:rPr>
          <w:rFonts w:eastAsiaTheme="minorEastAsia"/>
          <w:lang w:val="en-GB" w:eastAsia="ja-JP"/>
        </w:rPr>
        <w:t xml:space="preserve">is a first symbol in an even frame. </w:t>
      </w:r>
    </w:p>
    <w:p w14:paraId="7CA6C21D" w14:textId="252D2A22" w:rsidR="007E0725" w:rsidRDefault="00036229" w:rsidP="00267D98">
      <w:pPr>
        <w:jc w:val="both"/>
      </w:pPr>
      <w:r>
        <w:rPr>
          <w:rFonts w:eastAsiaTheme="minorEastAsia"/>
          <w:lang w:val="en-GB" w:eastAsia="ja-JP"/>
        </w:rPr>
        <w:t>Therefore, t</w:t>
      </w:r>
      <w:r w:rsidR="00CB2AB5">
        <w:rPr>
          <w:rFonts w:eastAsiaTheme="minorEastAsia"/>
          <w:lang w:val="en-GB" w:eastAsia="ja-JP"/>
        </w:rPr>
        <w:t xml:space="preserve">his first symbol </w:t>
      </w:r>
      <w:r>
        <w:rPr>
          <w:rFonts w:eastAsiaTheme="minorEastAsia"/>
          <w:lang w:val="en-GB" w:eastAsia="ja-JP"/>
        </w:rPr>
        <w:t xml:space="preserve">in an even frame </w:t>
      </w:r>
      <w:r w:rsidR="00CB681A">
        <w:rPr>
          <w:rFonts w:eastAsiaTheme="minorEastAsia"/>
          <w:lang w:val="en-GB" w:eastAsia="ja-JP"/>
        </w:rPr>
        <w:t xml:space="preserve">can be used as the start of the </w:t>
      </w:r>
      <w:r>
        <w:rPr>
          <w:rFonts w:eastAsiaTheme="minorEastAsia"/>
          <w:lang w:val="en-GB" w:eastAsia="ja-JP"/>
        </w:rPr>
        <w:t xml:space="preserve">first </w:t>
      </w:r>
      <w:r>
        <w:t xml:space="preserve">PDCCH processing capability window. </w:t>
      </w:r>
      <w:r w:rsidR="00684F64">
        <w:t xml:space="preserve">All subsequent monitoring windows are defined with the specific window advancing offsets in the </w:t>
      </w:r>
      <w:r w:rsidR="007E0725">
        <w:t xml:space="preserve">three </w:t>
      </w:r>
      <w:r w:rsidR="00684F64">
        <w:t>respective</w:t>
      </w:r>
      <w:r w:rsidR="007E0725">
        <w:t xml:space="preserve"> UE multi-slot PDCCH processing capability definitions.</w:t>
      </w:r>
      <w:r w:rsidR="0045164B">
        <w:t xml:space="preserve"> For Alt 1, the window advancing offset</w:t>
      </w:r>
      <w:r w:rsidR="004C186E">
        <w:t xml:space="preserve"> is fixed for a cell. If X=4 for a 480 kHz SCS cell or if X=8 for a 960 kHz SCS cell, the multi-slot PDCCH processing capability windows for Alt 1 are aligned with the slots of a 120 kHz SCS cell.</w:t>
      </w:r>
    </w:p>
    <w:p w14:paraId="20F57954" w14:textId="7EF1F851" w:rsidR="00927B78" w:rsidRPr="00527D78" w:rsidRDefault="00927B78" w:rsidP="00927B78">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14" w:name="_Ref77592662"/>
      <w:bookmarkStart w:id="15" w:name="_Toc83990567"/>
      <w:r>
        <w:rPr>
          <w:rFonts w:eastAsiaTheme="minorEastAsia"/>
        </w:rPr>
        <w:t xml:space="preserve">The </w:t>
      </w:r>
      <w:r>
        <w:t xml:space="preserve">PDCCH processing capability window </w:t>
      </w:r>
      <w:r w:rsidR="00AD62F1">
        <w:t xml:space="preserve">for Alt 1 </w:t>
      </w:r>
      <w:r>
        <w:t xml:space="preserve">starts from the first symbol </w:t>
      </w:r>
      <w:r w:rsidR="003F299D">
        <w:t>in an even frame to align with the TDD UL/DL configuration</w:t>
      </w:r>
      <w:r>
        <w:rPr>
          <w:rFonts w:eastAsiaTheme="minorEastAsia"/>
        </w:rPr>
        <w:t>.</w:t>
      </w:r>
      <w:bookmarkEnd w:id="14"/>
      <w:bookmarkEnd w:id="15"/>
    </w:p>
    <w:p w14:paraId="1018A6FB" w14:textId="6C17D4D8" w:rsidR="009F1C95" w:rsidRDefault="004445C8" w:rsidP="009F1C95">
      <w:pPr>
        <w:pStyle w:val="Observation"/>
      </w:pPr>
      <w:bookmarkStart w:id="16" w:name="_Toc83990423"/>
      <w:r>
        <w:t xml:space="preserve">For </w:t>
      </w:r>
      <w:r w:rsidR="009F1C95">
        <w:t xml:space="preserve">X=4 </w:t>
      </w:r>
      <w:r>
        <w:t xml:space="preserve">with </w:t>
      </w:r>
      <w:r w:rsidR="009F1C95">
        <w:t xml:space="preserve">480 kHz SCS </w:t>
      </w:r>
      <w:r>
        <w:t xml:space="preserve">and </w:t>
      </w:r>
      <w:r w:rsidR="009F1C95">
        <w:t xml:space="preserve">X=8 </w:t>
      </w:r>
      <w:r>
        <w:t xml:space="preserve">with </w:t>
      </w:r>
      <w:r w:rsidR="009F1C95">
        <w:t xml:space="preserve">960 kHz SCS, </w:t>
      </w:r>
      <w:r w:rsidR="00F72BC9">
        <w:t xml:space="preserve">the multi-slot PDCCH processing capability windows for Alt 1 </w:t>
      </w:r>
      <w:r w:rsidR="00935508">
        <w:t>are aligned with the slots of a 120 kHz SCS cell.</w:t>
      </w:r>
      <w:bookmarkEnd w:id="16"/>
    </w:p>
    <w:p w14:paraId="7F8C254A" w14:textId="77777777" w:rsidR="009F1C95" w:rsidRPr="00AD6781" w:rsidRDefault="009F1C95" w:rsidP="00267D98">
      <w:pPr>
        <w:jc w:val="both"/>
        <w:rPr>
          <w:lang w:val="en-GB" w:eastAsia="ja-JP"/>
        </w:rPr>
      </w:pPr>
    </w:p>
    <w:p w14:paraId="3FD0671F" w14:textId="65818A1D" w:rsidR="000C0CF8" w:rsidRDefault="000C0CF8" w:rsidP="000C0CF8">
      <w:pPr>
        <w:pStyle w:val="Heading2"/>
      </w:pPr>
      <w:bookmarkStart w:id="17" w:name="_Toc67653039"/>
      <w:r>
        <w:t>2.</w:t>
      </w:r>
      <w:r w:rsidR="00AE7C89">
        <w:t>3</w:t>
      </w:r>
      <w:r>
        <w:tab/>
      </w:r>
      <w:r w:rsidR="00252200">
        <w:t>M</w:t>
      </w:r>
      <w:r w:rsidR="008A49E0">
        <w:t xml:space="preserve">ulti-slot </w:t>
      </w:r>
      <w:r w:rsidR="009A2C3F">
        <w:t>PDCCH monitoring design</w:t>
      </w:r>
      <w:r w:rsidR="00F62EA7">
        <w:t>s</w:t>
      </w:r>
      <w:bookmarkEnd w:id="17"/>
    </w:p>
    <w:p w14:paraId="7A6FACD1" w14:textId="77777777" w:rsidR="00595D85" w:rsidRDefault="00595D85" w:rsidP="00595D85">
      <w:pPr>
        <w:pStyle w:val="BodyText"/>
      </w:pPr>
      <w:r>
        <w:t xml:space="preserve">In the current specs for every-slot PDCCH monitoring, 3 cases for SS set configuration within a slot are supported by parameter </w:t>
      </w:r>
      <w:proofErr w:type="spellStart"/>
      <w:r w:rsidRPr="00390B31">
        <w:rPr>
          <w:i/>
          <w:iCs/>
        </w:rPr>
        <w:t>monitoringSymbolsWithinSlot</w:t>
      </w:r>
      <w:proofErr w:type="spellEnd"/>
      <w:r>
        <w:t>:</w:t>
      </w:r>
    </w:p>
    <w:p w14:paraId="2945D64C" w14:textId="77777777" w:rsidR="00595D85" w:rsidRDefault="00595D85" w:rsidP="00AC216B">
      <w:pPr>
        <w:pStyle w:val="BodyText"/>
        <w:numPr>
          <w:ilvl w:val="0"/>
          <w:numId w:val="13"/>
        </w:numPr>
        <w:contextualSpacing/>
      </w:pPr>
      <w:r>
        <w:t>Case 1: PDCCH monitoring of all SS sets monitored in a slot occurs within 3 consecutive OFDM symbols that have fixed positions in each slot</w:t>
      </w:r>
    </w:p>
    <w:p w14:paraId="773AEB90" w14:textId="77777777" w:rsidR="00595D85" w:rsidRDefault="00595D85" w:rsidP="00AC216B">
      <w:pPr>
        <w:pStyle w:val="BodyText"/>
        <w:numPr>
          <w:ilvl w:val="1"/>
          <w:numId w:val="13"/>
        </w:numPr>
        <w:contextualSpacing/>
      </w:pPr>
      <w:r>
        <w:t>Case 1-1: PDCCH monitoring limited to within first three OFDM symbols of a slot</w:t>
      </w:r>
    </w:p>
    <w:p w14:paraId="2A6BD7DE" w14:textId="77777777" w:rsidR="00595D85" w:rsidRDefault="00595D85" w:rsidP="00AC216B">
      <w:pPr>
        <w:pStyle w:val="BodyText"/>
        <w:numPr>
          <w:ilvl w:val="1"/>
          <w:numId w:val="13"/>
        </w:numPr>
        <w:contextualSpacing/>
      </w:pPr>
      <w:r>
        <w:t>Case 1-2: PDCCH monitoring on any span of up to 3 consecutive OFDM symbols of a slot</w:t>
      </w:r>
    </w:p>
    <w:p w14:paraId="06453080" w14:textId="77777777" w:rsidR="00595D85" w:rsidRDefault="00595D85" w:rsidP="00AC216B">
      <w:pPr>
        <w:pStyle w:val="BodyText"/>
        <w:numPr>
          <w:ilvl w:val="2"/>
          <w:numId w:val="13"/>
        </w:numPr>
      </w:pPr>
      <w:r>
        <w:t>For a given UE, all search space configurations are within the same span of 3 consecutive OFDM symbols in the slot</w:t>
      </w:r>
    </w:p>
    <w:p w14:paraId="2762519A" w14:textId="77777777" w:rsidR="00595D85" w:rsidRDefault="00595D85" w:rsidP="00AC216B">
      <w:pPr>
        <w:pStyle w:val="BodyText"/>
        <w:numPr>
          <w:ilvl w:val="0"/>
          <w:numId w:val="13"/>
        </w:numPr>
        <w:contextualSpacing/>
      </w:pPr>
      <w:r>
        <w:t>Case 2: PDCCH monitoring cases other than Case 1</w:t>
      </w:r>
    </w:p>
    <w:p w14:paraId="01E15625" w14:textId="77777777" w:rsidR="00595D85" w:rsidRDefault="00595D85" w:rsidP="00AC216B">
      <w:pPr>
        <w:pStyle w:val="BodyText"/>
        <w:numPr>
          <w:ilvl w:val="1"/>
          <w:numId w:val="13"/>
        </w:numPr>
      </w:pPr>
      <w:r w:rsidRPr="002563CA">
        <w:t>PDCCH monitoring in any span of Y consecutive OFDM symbols (including crossing a slot boundary) as long as the span satisfies the (</w:t>
      </w:r>
      <w:proofErr w:type="gramStart"/>
      <w:r w:rsidRPr="002563CA">
        <w:t>X,Y</w:t>
      </w:r>
      <w:proofErr w:type="gramEnd"/>
      <w:r w:rsidRPr="002563CA">
        <w:t xml:space="preserve">) capability of the UE, where X = </w:t>
      </w:r>
      <w:r>
        <w:t>number</w:t>
      </w:r>
      <w:r w:rsidRPr="002563CA">
        <w:t xml:space="preserve"> of symbols between start</w:t>
      </w:r>
      <w:r>
        <w:t>ing OFDM symbol of two consecutive spans</w:t>
      </w:r>
      <w:r w:rsidRPr="002563CA">
        <w:t>.</w:t>
      </w:r>
    </w:p>
    <w:p w14:paraId="3CB26AB6" w14:textId="77777777" w:rsidR="00595D85" w:rsidRDefault="00595D85" w:rsidP="00595D85">
      <w:pPr>
        <w:pStyle w:val="BodyText"/>
      </w:pPr>
      <w:r>
        <w:t xml:space="preserve">In designing the Rel-17 multi-slot PDCCH monitoring solutions, </w:t>
      </w:r>
      <w:r w:rsidRPr="00AD68A2">
        <w:rPr>
          <w:u w:val="single"/>
        </w:rPr>
        <w:t>both aspects shall hence be addressed jointly</w:t>
      </w:r>
      <w:r>
        <w:t>:</w:t>
      </w:r>
    </w:p>
    <w:p w14:paraId="23B49479" w14:textId="77777777" w:rsidR="00595D85" w:rsidRDefault="00595D85" w:rsidP="00AC216B">
      <w:pPr>
        <w:pStyle w:val="BodyText"/>
        <w:numPr>
          <w:ilvl w:val="0"/>
          <w:numId w:val="15"/>
        </w:numPr>
      </w:pPr>
      <w:r>
        <w:t>In which slot(s) of a multi-slot span shall PDCCH be monitored?</w:t>
      </w:r>
    </w:p>
    <w:p w14:paraId="61B0B3F5" w14:textId="77777777" w:rsidR="00595D85" w:rsidRDefault="00595D85" w:rsidP="00AC216B">
      <w:pPr>
        <w:pStyle w:val="BodyText"/>
        <w:numPr>
          <w:ilvl w:val="0"/>
          <w:numId w:val="15"/>
        </w:numPr>
      </w:pPr>
      <w:r>
        <w:t>In which OFDM symbols of a monitored slot shall PDCCH be monitored?</w:t>
      </w:r>
    </w:p>
    <w:p w14:paraId="0CF36553" w14:textId="3C37E150" w:rsidR="00595D85" w:rsidRDefault="00595D85" w:rsidP="00595D85">
      <w:pPr>
        <w:pStyle w:val="BodyText"/>
      </w:pPr>
      <w:r>
        <w:lastRenderedPageBreak/>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w:t>
      </w:r>
      <w:r w:rsidR="00174D61">
        <w:t>X</w:t>
      </w:r>
      <w:r w:rsidRPr="00EC515B">
        <w:t xml:space="preserve">-slot </w:t>
      </w:r>
      <w:r w:rsidR="00174D61">
        <w:t xml:space="preserve">window </w:t>
      </w:r>
      <w:r w:rsidRPr="00EC515B">
        <w:t xml:space="preserve">(not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 xml:space="preserve">there is network flexibility to configure a UE to monitor in different slots of an </w:t>
      </w:r>
      <w:r w:rsidR="00CE792D">
        <w:t>X</w:t>
      </w:r>
      <w:r w:rsidRPr="00EC515B">
        <w:t xml:space="preserve">-slot </w:t>
      </w:r>
      <w:r w:rsidR="00CE792D">
        <w:t xml:space="preserve">window </w:t>
      </w:r>
      <w:r w:rsidRPr="00EC515B">
        <w:t>(e.g., CSS and USS in different slots), then case 1-1</w:t>
      </w:r>
      <w:r>
        <w:t xml:space="preserve"> and/or 1-2</w:t>
      </w:r>
      <w:r w:rsidRPr="00EC515B">
        <w:t xml:space="preserve"> would probably be sufficient.</w:t>
      </w:r>
    </w:p>
    <w:p w14:paraId="510226EE" w14:textId="77777777" w:rsidR="00F27BA4" w:rsidRDefault="00595D85" w:rsidP="00F27BA4">
      <w:pPr>
        <w:pStyle w:val="Proposal"/>
        <w:tabs>
          <w:tab w:val="num" w:pos="1304"/>
        </w:tabs>
        <w:overflowPunct w:val="0"/>
        <w:autoSpaceDE w:val="0"/>
        <w:autoSpaceDN w:val="0"/>
        <w:adjustRightInd w:val="0"/>
        <w:spacing w:after="0" w:line="240" w:lineRule="auto"/>
        <w:ind w:left="1304" w:hanging="1304"/>
        <w:textAlignment w:val="baseline"/>
        <w:rPr>
          <w:rFonts w:eastAsiaTheme="minorEastAsia"/>
        </w:rPr>
      </w:pPr>
      <w:bookmarkStart w:id="18" w:name="_Toc83990568"/>
      <w:r>
        <w:t>In defining a solution for Rel-17 multi-slot PDCCH monitoring, both intra- and inter-slot monitoring aspects shall be addressed jointly</w:t>
      </w:r>
      <w:r>
        <w:rPr>
          <w:rFonts w:eastAsiaTheme="minorEastAsia"/>
        </w:rPr>
        <w:t>:</w:t>
      </w:r>
      <w:bookmarkEnd w:id="18"/>
    </w:p>
    <w:p w14:paraId="62FC01E6" w14:textId="77777777" w:rsidR="00F27BA4" w:rsidRPr="00F27BA4" w:rsidRDefault="00595D85" w:rsidP="00AC216B">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19" w:name="_Toc83990569"/>
      <w:r>
        <w:t>In which slot(s) of a multi-slot span shall PDCCH be monitored?</w:t>
      </w:r>
      <w:bookmarkEnd w:id="19"/>
    </w:p>
    <w:p w14:paraId="7082DA8B" w14:textId="45C99F95" w:rsidR="00595D85" w:rsidRPr="00527D78" w:rsidRDefault="00595D85" w:rsidP="00AC216B">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bookmarkStart w:id="20" w:name="_Toc83990570"/>
      <w:r>
        <w:t>In which OFDM symbols of a monitored slot shall PDCCH be monitored?</w:t>
      </w:r>
      <w:bookmarkEnd w:id="20"/>
    </w:p>
    <w:p w14:paraId="5B08C4B8" w14:textId="77777777" w:rsidR="00595D85" w:rsidRDefault="00595D85" w:rsidP="00EC5283">
      <w:pPr>
        <w:pStyle w:val="BodyText"/>
      </w:pPr>
    </w:p>
    <w:p w14:paraId="09A68F29" w14:textId="52031350" w:rsidR="0071684A" w:rsidRDefault="00512A74" w:rsidP="00EC5283">
      <w:pPr>
        <w:pStyle w:val="BodyText"/>
      </w:pPr>
      <w:r>
        <w:t>From the per-slot PDCCH processing capability discussion, it becomes c</w:t>
      </w:r>
      <w:r w:rsidR="00EC5283" w:rsidRPr="00EC5283">
        <w:t>lear</w:t>
      </w:r>
      <w:r>
        <w:t xml:space="preserve"> that</w:t>
      </w:r>
      <w:r w:rsidR="00EC5283" w:rsidRPr="00EC5283">
        <w:t xml:space="preserve"> </w:t>
      </w:r>
      <w:r w:rsidR="00CF4604">
        <w:t xml:space="preserve">reducing the </w:t>
      </w:r>
      <w:r w:rsidR="00CF4604" w:rsidRPr="00B260BF">
        <w:t>periodicity</w:t>
      </w:r>
      <w:r w:rsidR="00CF4604" w:rsidRPr="00EC5283">
        <w:t xml:space="preserve"> of PDCCH monitoring </w:t>
      </w:r>
      <w:r w:rsidR="00CF4604" w:rsidRPr="00B4622A">
        <w:rPr>
          <w:u w:val="single"/>
        </w:rPr>
        <w:t xml:space="preserve">at </w:t>
      </w:r>
      <w:r w:rsidR="00256B1A" w:rsidRPr="00B4622A">
        <w:rPr>
          <w:u w:val="single"/>
        </w:rPr>
        <w:t>the</w:t>
      </w:r>
      <w:r w:rsidR="00CF4604" w:rsidRPr="00B4622A">
        <w:rPr>
          <w:u w:val="single"/>
        </w:rPr>
        <w:t xml:space="preserve"> UE </w:t>
      </w:r>
      <w:r w:rsidR="00256B1A" w:rsidRPr="00B4622A">
        <w:rPr>
          <w:u w:val="single"/>
        </w:rPr>
        <w:t>side</w:t>
      </w:r>
      <w:r w:rsidR="00256B1A">
        <w:t xml:space="preserve"> </w:t>
      </w:r>
      <w:r w:rsidR="00CF4604">
        <w:t>can</w:t>
      </w:r>
      <w:r w:rsidR="00CF4604" w:rsidRPr="00EC5283">
        <w:t xml:space="preserve"> allow more time for the UE to process the PDCCH candidates</w:t>
      </w:r>
      <w:r w:rsidR="00256B1A">
        <w:t>.</w:t>
      </w:r>
      <w:r w:rsidR="00B4622A">
        <w:t xml:space="preserve"> </w:t>
      </w:r>
      <w:r w:rsidR="0071684A" w:rsidRPr="0004448E">
        <w:t xml:space="preserve">PDCCH monitoring per multiple slots is in fact supported in Rel-15 specs already. In the configuration of </w:t>
      </w:r>
      <w:proofErr w:type="spellStart"/>
      <w:r w:rsidR="0071684A" w:rsidRPr="0004448E">
        <w:rPr>
          <w:rFonts w:ascii="Courier New" w:hAnsi="Courier New" w:cs="Courier New"/>
        </w:rPr>
        <w:t>SearchSpace</w:t>
      </w:r>
      <w:proofErr w:type="spellEnd"/>
      <w:r w:rsidR="0071684A" w:rsidRPr="0004448E">
        <w:t>, the monitoring periodicity and the offset within the periodicity can be configured using the parameter which allows the periodicity to be configured as 1, 2, 4, 5, 8, 10, … slots up to a maximum of 12560 slots.</w:t>
      </w:r>
    </w:p>
    <w:p w14:paraId="7DA018B3" w14:textId="1E73B251" w:rsidR="00775850" w:rsidRDefault="00BD0FD1" w:rsidP="00365D42">
      <w:pPr>
        <w:pStyle w:val="BodyText"/>
      </w:pPr>
      <w:r>
        <w:t>However, i</w:t>
      </w:r>
      <w:r w:rsidR="00365D42" w:rsidRPr="00EC515B">
        <w:t>t is important to simultaneously consider both UE capability and gNB</w:t>
      </w:r>
      <w:r w:rsidR="00E054CA">
        <w:t>/network</w:t>
      </w:r>
      <w:r w:rsidR="00365D42" w:rsidRPr="00EC515B">
        <w:t xml:space="preserve"> scheduling flexibility. What is needed from a gNB point of view is to be able to </w:t>
      </w:r>
      <w:r w:rsidR="00365D42" w:rsidRPr="00775850">
        <w:rPr>
          <w:u w:val="single"/>
        </w:rPr>
        <w:t xml:space="preserve">stagger USSs for different </w:t>
      </w:r>
      <w:r w:rsidR="0029677A" w:rsidRPr="00775850">
        <w:rPr>
          <w:u w:val="single"/>
        </w:rPr>
        <w:t>UEs</w:t>
      </w:r>
      <w:r w:rsidR="00365D42" w:rsidRPr="00775850">
        <w:rPr>
          <w:u w:val="single"/>
        </w:rPr>
        <w:t xml:space="preserve"> in different slots</w:t>
      </w:r>
      <w:r w:rsidR="00365D42" w:rsidRPr="00EC515B">
        <w:t xml:space="preserve">, recognizing that a slot containing CSS is common for all users. In this sense, a multi-slot BD/CCE budget should be able to be spread across the slots of the multi-slot span. </w:t>
      </w:r>
      <w:r w:rsidR="00F637BE">
        <w:t xml:space="preserve">This is illustrated in </w:t>
      </w:r>
      <w:r w:rsidR="005C7721">
        <w:fldChar w:fldCharType="begin"/>
      </w:r>
      <w:r w:rsidR="005C7721">
        <w:instrText xml:space="preserve"> REF _Ref83980619 \h </w:instrText>
      </w:r>
      <w:r w:rsidR="005C7721">
        <w:fldChar w:fldCharType="separate"/>
      </w:r>
      <w:r w:rsidR="00584934" w:rsidRPr="009B6F32">
        <w:t xml:space="preserve">Figure </w:t>
      </w:r>
      <w:r w:rsidR="00584934">
        <w:rPr>
          <w:noProof/>
        </w:rPr>
        <w:t>2</w:t>
      </w:r>
      <w:r w:rsidR="005C7721">
        <w:fldChar w:fldCharType="end"/>
      </w:r>
      <w:r w:rsidR="00775850">
        <w:t>.</w:t>
      </w:r>
    </w:p>
    <w:p w14:paraId="75307FA0" w14:textId="0386FAE1" w:rsidR="00EC18F6" w:rsidRDefault="00EC18F6" w:rsidP="00EC18F6">
      <w:pPr>
        <w:pStyle w:val="BodyText"/>
      </w:pPr>
      <w:r>
        <w:t xml:space="preserve">In summary, the flexibility </w:t>
      </w:r>
      <w:r w:rsidR="003279DE">
        <w:t xml:space="preserve">on the network level to distribute the </w:t>
      </w:r>
      <w:r w:rsidR="004630E1">
        <w:t xml:space="preserve">multi-slot </w:t>
      </w:r>
      <w:r w:rsidR="003279DE">
        <w:t xml:space="preserve">PDCCH processing capabilities of a UE </w:t>
      </w:r>
      <w:r w:rsidR="004630E1">
        <w:t xml:space="preserve">over multiple slots allows the network to optimize the </w:t>
      </w:r>
      <w:r w:rsidR="008D7413">
        <w:t>various requirements from different UEs and network in terms of capabilities, latency requirements</w:t>
      </w:r>
      <w:r w:rsidR="000F3C19">
        <w:t xml:space="preserve"> and PDCCH resource capacities.</w:t>
      </w:r>
    </w:p>
    <w:p w14:paraId="6B9D89CB" w14:textId="20800C02" w:rsidR="000D7863" w:rsidRDefault="006E6F5F" w:rsidP="000C0CF8">
      <w:pPr>
        <w:rPr>
          <w:lang w:val="en-GB" w:eastAsia="ja-JP"/>
        </w:rPr>
      </w:pPr>
      <w:r>
        <w:rPr>
          <w:lang w:val="en-GB" w:eastAsia="ja-JP"/>
        </w:rPr>
        <w:t>Based on the above discussion, we propose</w:t>
      </w:r>
    </w:p>
    <w:p w14:paraId="2A99F215" w14:textId="710CEF7F" w:rsidR="003A6C6C" w:rsidRPr="00527D78" w:rsidRDefault="00CD056E" w:rsidP="003A6C6C">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21" w:name="_Toc83990571"/>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w:t>
      </w:r>
      <w:r w:rsidR="00F71995">
        <w:rPr>
          <w:rFonts w:cs="Arial"/>
          <w:szCs w:val="20"/>
          <w:lang w:eastAsia="x-none"/>
        </w:rPr>
        <w:t xml:space="preserve">the benefits and impacts to both UEs and </w:t>
      </w:r>
      <w:proofErr w:type="spellStart"/>
      <w:r w:rsidR="00F71995">
        <w:rPr>
          <w:rFonts w:cs="Arial"/>
          <w:szCs w:val="20"/>
          <w:lang w:eastAsia="x-none"/>
        </w:rPr>
        <w:t>gNBs</w:t>
      </w:r>
      <w:proofErr w:type="spellEnd"/>
      <w:r w:rsidR="003A6C6C">
        <w:rPr>
          <w:rFonts w:eastAsiaTheme="minorEastAsia"/>
        </w:rPr>
        <w:t>.</w:t>
      </w:r>
      <w:r w:rsidR="002765CF">
        <w:rPr>
          <w:rFonts w:eastAsiaTheme="minorEastAsia"/>
        </w:rPr>
        <w:t xml:space="preserve"> The solutions shall allow the network to distribute the </w:t>
      </w:r>
      <w:r w:rsidR="002765CF" w:rsidRPr="00100C85">
        <w:rPr>
          <w:rFonts w:cs="Arial"/>
          <w:szCs w:val="20"/>
          <w:lang w:eastAsia="x-none"/>
        </w:rPr>
        <w:t xml:space="preserve">multi-slot </w:t>
      </w:r>
      <w:r w:rsidR="002765CF">
        <w:rPr>
          <w:rFonts w:eastAsiaTheme="minorEastAsia"/>
        </w:rPr>
        <w:t xml:space="preserve">PDCCH monitoring/processing loads for different types of UEs </w:t>
      </w:r>
      <w:r w:rsidR="00820943">
        <w:rPr>
          <w:rFonts w:eastAsiaTheme="minorEastAsia"/>
        </w:rPr>
        <w:t>flexibly across the multiple slots.</w:t>
      </w:r>
      <w:bookmarkEnd w:id="21"/>
    </w:p>
    <w:p w14:paraId="079752FD" w14:textId="0A02990C" w:rsidR="00A86420" w:rsidRDefault="00A86420" w:rsidP="000B1B53">
      <w:pPr>
        <w:pStyle w:val="BodyText"/>
      </w:pPr>
    </w:p>
    <w:p w14:paraId="5F057B20" w14:textId="240682F1" w:rsidR="00A74994" w:rsidRDefault="00A74994" w:rsidP="00A74994">
      <w:pPr>
        <w:pStyle w:val="Heading3"/>
      </w:pPr>
      <w:r>
        <w:t>2.3.1</w:t>
      </w:r>
      <w:r w:rsidRPr="00C81EDA">
        <w:tab/>
      </w:r>
      <w:r>
        <w:t xml:space="preserve">Selection of Y values for </w:t>
      </w:r>
      <w:r w:rsidR="00C143A0" w:rsidRPr="00375BE6">
        <w:rPr>
          <w:rFonts w:eastAsiaTheme="minorEastAsia"/>
        </w:rPr>
        <w:t xml:space="preserve">multi-slot PDCCH monitoring </w:t>
      </w:r>
      <w:r w:rsidRPr="00D23238">
        <w:t>Alt 1</w:t>
      </w:r>
      <w:r>
        <w:t xml:space="preserve"> and Alt 2</w:t>
      </w:r>
    </w:p>
    <w:p w14:paraId="622A5013" w14:textId="77777777" w:rsidR="00C143A0" w:rsidRPr="0045078F" w:rsidRDefault="00C143A0" w:rsidP="00C143A0">
      <w:pPr>
        <w:pStyle w:val="BodyText"/>
        <w:rPr>
          <w:b/>
          <w:bCs/>
          <w:u w:val="single"/>
        </w:rPr>
      </w:pPr>
      <w:r>
        <w:rPr>
          <w:b/>
          <w:bCs/>
          <w:u w:val="single"/>
        </w:rPr>
        <w:t xml:space="preserve">Case of </w:t>
      </w:r>
      <w:r w:rsidRPr="0045078F">
        <w:rPr>
          <w:b/>
          <w:bCs/>
          <w:u w:val="single"/>
        </w:rPr>
        <w:t xml:space="preserve">Y </w:t>
      </w:r>
      <w:r w:rsidRPr="0045078F">
        <w:rPr>
          <w:rFonts w:ascii="Cambria Math" w:hAnsi="Cambria Math"/>
          <w:b/>
          <w:bCs/>
          <w:u w:val="single"/>
        </w:rPr>
        <w:t xml:space="preserve">≤ </w:t>
      </w:r>
      <w:r w:rsidRPr="0045078F">
        <w:rPr>
          <w:b/>
          <w:bCs/>
          <w:u w:val="single"/>
        </w:rPr>
        <w:t>1 slot</w:t>
      </w:r>
    </w:p>
    <w:p w14:paraId="0C4ECC7C" w14:textId="3F3A4263" w:rsidR="00C143A0" w:rsidRDefault="005C7721" w:rsidP="00C143A0">
      <w:pPr>
        <w:pStyle w:val="BodyText"/>
      </w:pPr>
      <w:r>
        <w:t>If</w:t>
      </w:r>
      <w:r w:rsidR="00C143A0">
        <w:t xml:space="preserve"> PDCCH monitoring is restricted to one slot within each X-slot window, it becomes necessary to utilize more OFDM symbols in the slot to multiplex different UEs on CORESETs with different time locations as illustrated in </w:t>
      </w:r>
      <w:r w:rsidR="00A91FC0">
        <w:fldChar w:fldCharType="begin"/>
      </w:r>
      <w:r w:rsidR="00A91FC0">
        <w:instrText xml:space="preserve"> REF _Ref83989126 \h </w:instrText>
      </w:r>
      <w:r w:rsidR="00A91FC0">
        <w:fldChar w:fldCharType="separate"/>
      </w:r>
      <w:r w:rsidR="00584934" w:rsidRPr="009B6F32">
        <w:t xml:space="preserve">Figure </w:t>
      </w:r>
      <w:r w:rsidR="00584934">
        <w:rPr>
          <w:noProof/>
        </w:rPr>
        <w:t>1</w:t>
      </w:r>
      <w:r w:rsidR="00A91FC0">
        <w:fldChar w:fldCharType="end"/>
      </w:r>
      <w:r w:rsidR="00A91FC0">
        <w:t xml:space="preserve"> </w:t>
      </w:r>
      <w:r w:rsidR="00C143A0">
        <w:t>below. A UE will need to be able to monitor CSS in one CORESET and USS in a different CORESET that are not necessarily contiguous in time, either. That is, intra-slot Case 2 monitoring capability support will be mandatory</w:t>
      </w:r>
      <w:r w:rsidR="004A4BDC">
        <w:t xml:space="preserve"> if </w:t>
      </w:r>
      <w:r w:rsidR="004A4BDC" w:rsidRPr="004A4BDC">
        <w:t>Y ≤ 1 slot</w:t>
      </w:r>
      <w:r w:rsidR="00C143A0">
        <w:t>. This is because the UE may also need to monitor the CSS and USS in the same slot and the SS may be separated by more than three OS span allowed in intra-slot Case 1-2.</w:t>
      </w:r>
    </w:p>
    <w:p w14:paraId="460773E2" w14:textId="77777777" w:rsidR="00C143A0" w:rsidRDefault="00C143A0" w:rsidP="00C143A0">
      <w:pPr>
        <w:pStyle w:val="BodyText"/>
      </w:pPr>
    </w:p>
    <w:p w14:paraId="26F57FD7" w14:textId="77777777" w:rsidR="00C143A0" w:rsidRPr="00527D78" w:rsidRDefault="00C143A0" w:rsidP="00C143A0">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22" w:name="_Toc83990572"/>
      <w:r>
        <w:rPr>
          <w:rFonts w:cs="Arial"/>
          <w:szCs w:val="20"/>
          <w:lang w:eastAsia="x-none"/>
        </w:rPr>
        <w:t xml:space="preserve">For multi-slot PDCCH monitoring with 480/960 kHz SCS and X&gt;1, it is mandatory for the UE to support intra-slot PDCCH monitoring capability Case 2 if Y </w:t>
      </w:r>
      <w:r w:rsidRPr="00F261E7">
        <w:rPr>
          <w:rFonts w:ascii="Cambria Math" w:hAnsi="Cambria Math"/>
        </w:rPr>
        <w:t>≤</w:t>
      </w:r>
      <w:r w:rsidRPr="00F261E7">
        <w:rPr>
          <w:rFonts w:cs="Arial"/>
          <w:szCs w:val="20"/>
          <w:lang w:eastAsia="x-none"/>
        </w:rPr>
        <w:t xml:space="preserve"> </w:t>
      </w:r>
      <w:r>
        <w:rPr>
          <w:rFonts w:cs="Arial"/>
          <w:szCs w:val="20"/>
          <w:lang w:eastAsia="x-none"/>
        </w:rPr>
        <w:t>1 slot</w:t>
      </w:r>
      <w:r>
        <w:rPr>
          <w:rFonts w:eastAsiaTheme="minorEastAsia"/>
        </w:rPr>
        <w:t>.</w:t>
      </w:r>
      <w:bookmarkEnd w:id="22"/>
    </w:p>
    <w:p w14:paraId="41691BC9" w14:textId="058609BD" w:rsidR="00C143A0" w:rsidRDefault="001D4276" w:rsidP="00C143A0">
      <w:pPr>
        <w:pStyle w:val="BodyText"/>
        <w:spacing w:before="120"/>
      </w:pPr>
      <w:r w:rsidRPr="001D4276">
        <w:t xml:space="preserve"> </w:t>
      </w:r>
      <w:r w:rsidRPr="001D4276">
        <w:rPr>
          <w:noProof/>
        </w:rPr>
        <w:drawing>
          <wp:inline distT="0" distB="0" distL="0" distR="0" wp14:anchorId="5784B138" wp14:editId="570C5B97">
            <wp:extent cx="6120765" cy="845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845820"/>
                    </a:xfrm>
                    <a:prstGeom prst="rect">
                      <a:avLst/>
                    </a:prstGeom>
                    <a:noFill/>
                    <a:ln>
                      <a:noFill/>
                    </a:ln>
                  </pic:spPr>
                </pic:pic>
              </a:graphicData>
            </a:graphic>
          </wp:inline>
        </w:drawing>
      </w:r>
    </w:p>
    <w:p w14:paraId="785BC0BD" w14:textId="03A9E8D1" w:rsidR="00C143A0" w:rsidRDefault="00C143A0" w:rsidP="005D3EAE">
      <w:pPr>
        <w:pStyle w:val="TF"/>
        <w:jc w:val="both"/>
        <w:rPr>
          <w:lang w:val="en-US"/>
        </w:rPr>
      </w:pPr>
      <w:bookmarkStart w:id="23" w:name="_Ref83989126"/>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584934">
        <w:rPr>
          <w:noProof/>
          <w:lang w:val="en-US"/>
        </w:rPr>
        <w:t>1</w:t>
      </w:r>
      <w:r w:rsidRPr="009B6F32">
        <w:rPr>
          <w:lang w:val="en-US"/>
        </w:rPr>
        <w:fldChar w:fldCharType="end"/>
      </w:r>
      <w:bookmarkEnd w:id="23"/>
      <w:r w:rsidRPr="009B6F32">
        <w:rPr>
          <w:lang w:val="en-US"/>
        </w:rPr>
        <w:t xml:space="preserve">: </w:t>
      </w:r>
      <w:r>
        <w:rPr>
          <w:lang w:val="en-US"/>
        </w:rPr>
        <w:t>M</w:t>
      </w:r>
      <w:r w:rsidRPr="009B6F32">
        <w:rPr>
          <w:lang w:val="en-US"/>
        </w:rPr>
        <w:t>ulti-slot PDCCH monitoring</w:t>
      </w:r>
      <w:r>
        <w:rPr>
          <w:lang w:val="en-US"/>
        </w:rPr>
        <w:t xml:space="preserve"> according to Y </w:t>
      </w:r>
      <w:r w:rsidRPr="00EF0916">
        <w:rPr>
          <w:rFonts w:ascii="Cambria Math" w:hAnsi="Cambria Math"/>
        </w:rPr>
        <w:t>≤</w:t>
      </w:r>
      <w:r w:rsidRPr="00EF0916">
        <w:rPr>
          <w:rFonts w:ascii="Cambria Math" w:hAnsi="Cambria Math"/>
          <w:lang w:val="en-US"/>
        </w:rPr>
        <w:t xml:space="preserve"> </w:t>
      </w:r>
      <w:r>
        <w:rPr>
          <w:lang w:val="en-US"/>
        </w:rPr>
        <w:t>1 slot</w:t>
      </w:r>
      <w:r w:rsidR="000B57D4">
        <w:rPr>
          <w:lang w:val="en-US"/>
        </w:rPr>
        <w:t>, assuming Case 2 monitoring within a slot</w:t>
      </w:r>
      <w:r>
        <w:rPr>
          <w:lang w:val="en-US"/>
        </w:rPr>
        <w:t>.</w:t>
      </w:r>
    </w:p>
    <w:p w14:paraId="15749913" w14:textId="77777777" w:rsidR="00C143A0" w:rsidRPr="0045078F" w:rsidRDefault="00C143A0" w:rsidP="00C143A0">
      <w:pPr>
        <w:pStyle w:val="BodyText"/>
        <w:rPr>
          <w:b/>
          <w:bCs/>
          <w:u w:val="single"/>
        </w:rPr>
      </w:pPr>
      <w:r>
        <w:rPr>
          <w:b/>
          <w:bCs/>
          <w:u w:val="single"/>
        </w:rPr>
        <w:lastRenderedPageBreak/>
        <w:t xml:space="preserve">Case of </w:t>
      </w:r>
      <w:r w:rsidRPr="0045078F">
        <w:rPr>
          <w:b/>
          <w:bCs/>
          <w:u w:val="single"/>
        </w:rPr>
        <w:t xml:space="preserve">Y </w:t>
      </w:r>
      <w:r w:rsidRPr="0045078F">
        <w:rPr>
          <w:rFonts w:ascii="Cambria Math" w:hAnsi="Cambria Math"/>
          <w:b/>
          <w:bCs/>
          <w:u w:val="single"/>
        </w:rPr>
        <w:t xml:space="preserve">&gt; </w:t>
      </w:r>
      <w:r w:rsidRPr="0045078F">
        <w:rPr>
          <w:b/>
          <w:bCs/>
          <w:u w:val="single"/>
        </w:rPr>
        <w:t>1 slot</w:t>
      </w:r>
    </w:p>
    <w:p w14:paraId="35211F95" w14:textId="24B3A289" w:rsidR="00C143A0" w:rsidRDefault="005C7721" w:rsidP="00C143A0">
      <w:pPr>
        <w:pStyle w:val="BodyText"/>
      </w:pPr>
      <w:r>
        <w:t xml:space="preserve">If </w:t>
      </w:r>
      <w:r w:rsidR="00C143A0">
        <w:t xml:space="preserve">more than one slot within each X-slot window </w:t>
      </w:r>
      <w:r>
        <w:t xml:space="preserve">is </w:t>
      </w:r>
      <w:r w:rsidR="00C143A0">
        <w:t>available for the network to distribute the USS for different UEs across different slots</w:t>
      </w:r>
      <w:r>
        <w:t>,</w:t>
      </w:r>
      <w:r w:rsidR="00C143A0">
        <w:t xml:space="preserve"> PDCCH load congestion </w:t>
      </w:r>
      <w:r>
        <w:t xml:space="preserve">can be avoided </w:t>
      </w:r>
      <w:r w:rsidR="00C143A0">
        <w:t>while accounting for the latency requirements of the UEs. This is illustrated in</w:t>
      </w:r>
      <w:r w:rsidR="00421F7B">
        <w:t xml:space="preserve"> </w:t>
      </w:r>
      <w:r w:rsidR="00421F7B">
        <w:fldChar w:fldCharType="begin"/>
      </w:r>
      <w:r w:rsidR="00421F7B">
        <w:instrText xml:space="preserve"> REF _Ref83980619 \h </w:instrText>
      </w:r>
      <w:r w:rsidR="00421F7B">
        <w:fldChar w:fldCharType="separate"/>
      </w:r>
      <w:r w:rsidR="00584934" w:rsidRPr="009B6F32">
        <w:t xml:space="preserve">Figure </w:t>
      </w:r>
      <w:r w:rsidR="00584934">
        <w:rPr>
          <w:noProof/>
        </w:rPr>
        <w:t>2</w:t>
      </w:r>
      <w:r w:rsidR="00421F7B">
        <w:fldChar w:fldCharType="end"/>
      </w:r>
      <w:r w:rsidR="00C143A0">
        <w:t>. Furthermore, with additional PDCCH resource across multiple slots, intra-slot monitoring capability Case 1-1 or Case 1-2 can be set as the minimum requirement.</w:t>
      </w:r>
    </w:p>
    <w:p w14:paraId="52C55B03" w14:textId="77777777" w:rsidR="00C143A0" w:rsidRDefault="00C143A0" w:rsidP="00C143A0">
      <w:pPr>
        <w:pStyle w:val="BodyText"/>
      </w:pPr>
    </w:p>
    <w:p w14:paraId="784171A8" w14:textId="77777777" w:rsidR="00C143A0" w:rsidRPr="00527D78" w:rsidRDefault="00C143A0" w:rsidP="00C143A0">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24" w:name="_Toc83990573"/>
      <w:r>
        <w:rPr>
          <w:rFonts w:cs="Arial"/>
          <w:szCs w:val="20"/>
          <w:lang w:eastAsia="x-none"/>
        </w:rPr>
        <w:t xml:space="preserve">For multi-slot PDCCH monitoring with 480/960 kHz SCS and X&gt;1, intra-slot PDCCH monitoring capability Case 1-1 or Case 1-2 can be considered as the minimum UE requirement if Y </w:t>
      </w:r>
      <w:r>
        <w:rPr>
          <w:rFonts w:ascii="Cambria Math" w:hAnsi="Cambria Math"/>
        </w:rPr>
        <w:t>&gt;</w:t>
      </w:r>
      <w:r w:rsidRPr="00F261E7">
        <w:rPr>
          <w:rFonts w:cs="Arial"/>
          <w:szCs w:val="20"/>
          <w:lang w:eastAsia="x-none"/>
        </w:rPr>
        <w:t xml:space="preserve"> </w:t>
      </w:r>
      <w:r>
        <w:rPr>
          <w:rFonts w:cs="Arial"/>
          <w:szCs w:val="20"/>
          <w:lang w:eastAsia="x-none"/>
        </w:rPr>
        <w:t>1 slot</w:t>
      </w:r>
      <w:r>
        <w:rPr>
          <w:rFonts w:eastAsiaTheme="minorEastAsia"/>
        </w:rPr>
        <w:t>.</w:t>
      </w:r>
      <w:bookmarkEnd w:id="24"/>
    </w:p>
    <w:p w14:paraId="2A5A6509" w14:textId="42BFEF70" w:rsidR="00C143A0" w:rsidRDefault="004548B2" w:rsidP="00C143A0">
      <w:pPr>
        <w:pStyle w:val="BodyText"/>
        <w:spacing w:before="120"/>
      </w:pPr>
      <w:r w:rsidRPr="004548B2">
        <w:t xml:space="preserve"> </w:t>
      </w:r>
      <w:r w:rsidRPr="004548B2">
        <w:rPr>
          <w:noProof/>
        </w:rPr>
        <w:drawing>
          <wp:inline distT="0" distB="0" distL="0" distR="0" wp14:anchorId="21975935" wp14:editId="37CB506E">
            <wp:extent cx="6120765" cy="8458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845820"/>
                    </a:xfrm>
                    <a:prstGeom prst="rect">
                      <a:avLst/>
                    </a:prstGeom>
                    <a:noFill/>
                    <a:ln>
                      <a:noFill/>
                    </a:ln>
                  </pic:spPr>
                </pic:pic>
              </a:graphicData>
            </a:graphic>
          </wp:inline>
        </w:drawing>
      </w:r>
    </w:p>
    <w:p w14:paraId="68E2D20D" w14:textId="679BAF50" w:rsidR="00C143A0" w:rsidRPr="009B6F32" w:rsidRDefault="00C143A0" w:rsidP="005D3EAE">
      <w:pPr>
        <w:pStyle w:val="TF"/>
        <w:jc w:val="both"/>
        <w:rPr>
          <w:lang w:val="en-US"/>
        </w:rPr>
      </w:pPr>
      <w:bookmarkStart w:id="25" w:name="_Ref83980619"/>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584934">
        <w:rPr>
          <w:noProof/>
          <w:lang w:val="en-US"/>
        </w:rPr>
        <w:t>2</w:t>
      </w:r>
      <w:r w:rsidRPr="009B6F32">
        <w:rPr>
          <w:lang w:val="en-US"/>
        </w:rPr>
        <w:fldChar w:fldCharType="end"/>
      </w:r>
      <w:bookmarkEnd w:id="25"/>
      <w:r w:rsidRPr="009B6F32">
        <w:rPr>
          <w:lang w:val="en-US"/>
        </w:rPr>
        <w:t xml:space="preserve">: </w:t>
      </w:r>
      <w:r>
        <w:rPr>
          <w:lang w:val="en-US"/>
        </w:rPr>
        <w:t>M</w:t>
      </w:r>
      <w:r w:rsidRPr="009B6F32">
        <w:rPr>
          <w:lang w:val="en-US"/>
        </w:rPr>
        <w:t>ulti-slot PDCCH monitoring</w:t>
      </w:r>
      <w:r>
        <w:rPr>
          <w:lang w:val="en-US"/>
        </w:rPr>
        <w:t xml:space="preserve"> according to Y </w:t>
      </w:r>
      <w:r w:rsidRPr="00EF0916">
        <w:rPr>
          <w:rFonts w:ascii="Cambria Math" w:hAnsi="Cambria Math"/>
          <w:lang w:val="en-US"/>
        </w:rPr>
        <w:t xml:space="preserve">&gt; </w:t>
      </w:r>
      <w:r w:rsidRPr="00EF0916">
        <w:rPr>
          <w:lang w:val="en-US"/>
        </w:rPr>
        <w:t>1</w:t>
      </w:r>
      <w:r>
        <w:rPr>
          <w:lang w:val="en-US"/>
        </w:rPr>
        <w:t xml:space="preserve"> slot</w:t>
      </w:r>
      <w:r w:rsidR="000B57D4">
        <w:rPr>
          <w:lang w:val="en-US"/>
        </w:rPr>
        <w:t>, assuming Case 1-2 monitoring within a slot</w:t>
      </w:r>
      <w:r w:rsidRPr="00697E8F">
        <w:t>.</w:t>
      </w:r>
    </w:p>
    <w:p w14:paraId="7CDB452F" w14:textId="77777777" w:rsidR="003A52FA" w:rsidRDefault="003A52FA" w:rsidP="000B1B53">
      <w:pPr>
        <w:pStyle w:val="BodyText"/>
      </w:pPr>
    </w:p>
    <w:p w14:paraId="2B418C98" w14:textId="678E3CA0" w:rsidR="00005281" w:rsidRDefault="00005281" w:rsidP="00005281">
      <w:pPr>
        <w:pStyle w:val="Heading3"/>
      </w:pPr>
      <w:bookmarkStart w:id="26" w:name="_Toc67653041"/>
      <w:r>
        <w:t>2.3.</w:t>
      </w:r>
      <w:r w:rsidR="00370DD5">
        <w:t>2</w:t>
      </w:r>
      <w:r w:rsidRPr="00C81EDA">
        <w:tab/>
      </w:r>
      <w:r w:rsidRPr="00D23238">
        <w:t xml:space="preserve">Alt 1: A fixed pattern of </w:t>
      </w:r>
      <w:r w:rsidR="00F80EC9">
        <w:t>X</w:t>
      </w:r>
      <w:r>
        <w:t>-</w:t>
      </w:r>
      <w:r w:rsidRPr="00D23238">
        <w:t>slot</w:t>
      </w:r>
      <w:r>
        <w:t xml:space="preserve"> groups</w:t>
      </w:r>
      <w:bookmarkEnd w:id="26"/>
    </w:p>
    <w:p w14:paraId="0CBB7F9C" w14:textId="3E3BFE93" w:rsidR="00005281" w:rsidRDefault="00005281" w:rsidP="00005281">
      <w:pPr>
        <w:pStyle w:val="BodyText"/>
      </w:pPr>
      <w:r>
        <w:t xml:space="preserve">In this proposed solution, </w:t>
      </w:r>
      <w:r w:rsidR="00246E64">
        <w:t xml:space="preserve">a </w:t>
      </w:r>
      <w:r>
        <w:t xml:space="preserve">fixed </w:t>
      </w:r>
      <w:r w:rsidR="00246E64">
        <w:t>pattern of</w:t>
      </w:r>
      <w:r>
        <w:t xml:space="preserve"> non-overlapping </w:t>
      </w:r>
      <w:r w:rsidR="00246E64">
        <w:t>slot groups (</w:t>
      </w:r>
      <w:r w:rsidR="00D80EBD">
        <w:t>X</w:t>
      </w:r>
      <w:r>
        <w:t xml:space="preserve"> slots </w:t>
      </w:r>
      <w:r w:rsidR="00246E64">
        <w:t>per group)</w:t>
      </w:r>
      <w:r>
        <w:t xml:space="preserve"> </w:t>
      </w:r>
      <w:r w:rsidR="00246E64">
        <w:t xml:space="preserve">is </w:t>
      </w:r>
      <w:r>
        <w:t xml:space="preserve">considered. The organization of these </w:t>
      </w:r>
      <w:r w:rsidR="00263D07">
        <w:t>X</w:t>
      </w:r>
      <w:r>
        <w:t>-slot groups likely needs to align with the radio frame boundaries such as one illustrated below.</w:t>
      </w:r>
    </w:p>
    <w:p w14:paraId="101B35BA" w14:textId="77777777" w:rsidR="00005281" w:rsidRPr="00302BBB" w:rsidRDefault="00005281" w:rsidP="00005281">
      <w:pPr>
        <w:pStyle w:val="BodyText"/>
        <w:spacing w:before="120"/>
        <w:jc w:val="right"/>
      </w:pPr>
      <w:r w:rsidRPr="00302BBB">
        <w:rPr>
          <w:noProof/>
        </w:rPr>
        <w:drawing>
          <wp:inline distT="0" distB="0" distL="0" distR="0" wp14:anchorId="746E5071" wp14:editId="4710E6AD">
            <wp:extent cx="5792962" cy="98375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1163" cy="998736"/>
                    </a:xfrm>
                    <a:prstGeom prst="rect">
                      <a:avLst/>
                    </a:prstGeom>
                    <a:noFill/>
                  </pic:spPr>
                </pic:pic>
              </a:graphicData>
            </a:graphic>
          </wp:inline>
        </w:drawing>
      </w:r>
    </w:p>
    <w:p w14:paraId="2DF8A4B9" w14:textId="35AD5BC0" w:rsidR="00A77626" w:rsidRDefault="00A77626" w:rsidP="00A77626">
      <w:pPr>
        <w:jc w:val="both"/>
        <w:rPr>
          <w:lang w:val="en-GB" w:eastAsia="ja-JP"/>
        </w:rPr>
      </w:pPr>
      <w:r>
        <w:rPr>
          <w:lang w:val="en-GB" w:eastAsia="ja-JP"/>
        </w:rPr>
        <w:t>Based on the analysis and discussion</w:t>
      </w:r>
      <w:r w:rsidR="00E0379F">
        <w:rPr>
          <w:lang w:val="en-GB" w:eastAsia="ja-JP"/>
        </w:rPr>
        <w:t xml:space="preserve"> presented in Section 2.1</w:t>
      </w:r>
      <w:r w:rsidR="00424253">
        <w:rPr>
          <w:lang w:val="en-GB" w:eastAsia="ja-JP"/>
        </w:rPr>
        <w:t>.1</w:t>
      </w:r>
      <w:r>
        <w:rPr>
          <w:lang w:val="en-GB" w:eastAsia="ja-JP"/>
        </w:rPr>
        <w:t>, we propose to further clarify the following bullet regarding the operation of multi-slot PDCCH monitoring Alt 1:</w:t>
      </w:r>
    </w:p>
    <w:p w14:paraId="36D426D2" w14:textId="77777777" w:rsidR="00A77626" w:rsidRPr="001A18D8" w:rsidRDefault="00A77626" w:rsidP="00A77626">
      <w:pPr>
        <w:pStyle w:val="BodyText"/>
        <w:numPr>
          <w:ilvl w:val="1"/>
          <w:numId w:val="18"/>
        </w:numPr>
        <w:tabs>
          <w:tab w:val="clear" w:pos="1440"/>
          <w:tab w:val="num" w:pos="2007"/>
        </w:tabs>
        <w:ind w:left="2007"/>
        <w:contextualSpacing/>
        <w:rPr>
          <w:lang w:val="en-GB"/>
        </w:rPr>
      </w:pPr>
      <w:r w:rsidRPr="001A18D8">
        <w:rPr>
          <w:lang w:val="en-GB"/>
        </w:rPr>
        <w:t xml:space="preserve">The capability indicates the BD/CCE budget within Y consecutive slots in each slot group </w:t>
      </w:r>
    </w:p>
    <w:p w14:paraId="03E2296C" w14:textId="77777777" w:rsidR="00A77626" w:rsidRPr="001A18D8" w:rsidRDefault="00A77626" w:rsidP="00A77626">
      <w:pPr>
        <w:pStyle w:val="BodyText"/>
        <w:numPr>
          <w:ilvl w:val="2"/>
          <w:numId w:val="18"/>
        </w:numPr>
        <w:tabs>
          <w:tab w:val="clear" w:pos="2160"/>
        </w:tabs>
        <w:ind w:left="2610"/>
        <w:contextualSpacing/>
        <w:rPr>
          <w:lang w:val="en-GB"/>
        </w:rPr>
      </w:pPr>
      <w:r w:rsidRPr="001A18D8">
        <w:rPr>
          <w:lang w:val="en-GB"/>
        </w:rPr>
        <w:t>The location of the Y slots within the X slots is maintained across different slot groups</w:t>
      </w:r>
    </w:p>
    <w:p w14:paraId="165BD3A0" w14:textId="1C54292C" w:rsidR="00A77626" w:rsidRDefault="00A77626" w:rsidP="00A77626">
      <w:pPr>
        <w:jc w:val="both"/>
        <w:rPr>
          <w:lang w:val="en-GB" w:eastAsia="ja-JP"/>
        </w:rPr>
      </w:pPr>
      <w:r>
        <w:rPr>
          <w:lang w:val="en-GB" w:eastAsia="ja-JP"/>
        </w:rPr>
        <w:t>That is, we proposed the following clarification for multi-slot PDCCH monitoring Alt 1:</w:t>
      </w:r>
    </w:p>
    <w:p w14:paraId="63BC4AE8" w14:textId="77777777" w:rsidR="00D97F3C" w:rsidRDefault="00D97F3C" w:rsidP="00A77626">
      <w:pPr>
        <w:jc w:val="both"/>
        <w:rPr>
          <w:lang w:val="en-GB" w:eastAsia="ja-JP"/>
        </w:rPr>
      </w:pPr>
    </w:p>
    <w:p w14:paraId="5BD26E3A" w14:textId="77777777" w:rsidR="00A77626" w:rsidRPr="00F27BA4" w:rsidRDefault="00A77626" w:rsidP="00A77626">
      <w:pPr>
        <w:pStyle w:val="Proposal"/>
        <w:tabs>
          <w:tab w:val="num" w:pos="1304"/>
        </w:tabs>
        <w:overflowPunct w:val="0"/>
        <w:autoSpaceDE w:val="0"/>
        <w:autoSpaceDN w:val="0"/>
        <w:adjustRightInd w:val="0"/>
        <w:spacing w:after="0" w:line="240" w:lineRule="auto"/>
        <w:ind w:left="1304" w:hanging="1304"/>
        <w:textAlignment w:val="baseline"/>
        <w:rPr>
          <w:rFonts w:eastAsiaTheme="minorEastAsia"/>
        </w:rPr>
      </w:pPr>
      <w:bookmarkStart w:id="27" w:name="_Toc83990574"/>
      <w:r w:rsidRPr="00375BE6">
        <w:rPr>
          <w:rFonts w:eastAsiaTheme="minorEastAsia"/>
        </w:rPr>
        <w:t>For multi-slot PDCCH monitoring Alt 1 with 480/960 kHz SCS, the BD/CCE budget for slot group is clarified as follows</w:t>
      </w:r>
      <w:r>
        <w:t>:</w:t>
      </w:r>
      <w:bookmarkEnd w:id="27"/>
    </w:p>
    <w:p w14:paraId="32DB7D64" w14:textId="77777777" w:rsidR="00A77626" w:rsidRDefault="00A77626" w:rsidP="00A77626">
      <w:pPr>
        <w:pStyle w:val="Proposal"/>
        <w:numPr>
          <w:ilvl w:val="1"/>
          <w:numId w:val="2"/>
        </w:numPr>
        <w:tabs>
          <w:tab w:val="clear" w:pos="1440"/>
          <w:tab w:val="clear" w:pos="1701"/>
        </w:tabs>
        <w:overflowPunct w:val="0"/>
        <w:autoSpaceDE w:val="0"/>
        <w:autoSpaceDN w:val="0"/>
        <w:adjustRightInd w:val="0"/>
        <w:spacing w:after="0" w:line="240" w:lineRule="auto"/>
        <w:ind w:left="2070"/>
        <w:textAlignment w:val="baseline"/>
        <w:rPr>
          <w:rFonts w:eastAsiaTheme="minorEastAsia"/>
        </w:rPr>
      </w:pPr>
      <w:bookmarkStart w:id="28" w:name="_Toc83990575"/>
      <w:r w:rsidRPr="005C265E">
        <w:rPr>
          <w:rFonts w:eastAsiaTheme="minorEastAsia"/>
        </w:rPr>
        <w:t xml:space="preserve">The capability indicates the BD/CCE budget within </w:t>
      </w:r>
      <w:r w:rsidRPr="00AD0E92">
        <w:rPr>
          <w:rFonts w:eastAsiaTheme="minorEastAsia"/>
          <w:strike/>
          <w:color w:val="0000FF"/>
        </w:rPr>
        <w:t>Y consecutive slots in</w:t>
      </w:r>
      <w:r w:rsidRPr="00AD0E92">
        <w:rPr>
          <w:rFonts w:eastAsiaTheme="minorEastAsia"/>
          <w:color w:val="0000FF"/>
        </w:rPr>
        <w:t xml:space="preserve"> </w:t>
      </w:r>
      <w:r w:rsidRPr="005C265E">
        <w:rPr>
          <w:rFonts w:eastAsiaTheme="minorEastAsia"/>
        </w:rPr>
        <w:t xml:space="preserve">each </w:t>
      </w:r>
      <w:r w:rsidRPr="00AD0E92">
        <w:rPr>
          <w:rFonts w:eastAsiaTheme="minorEastAsia"/>
          <w:color w:val="0000FF"/>
        </w:rPr>
        <w:t>X-</w:t>
      </w:r>
      <w:r w:rsidRPr="005C265E">
        <w:rPr>
          <w:rFonts w:eastAsiaTheme="minorEastAsia"/>
        </w:rPr>
        <w:t xml:space="preserve">slot group </w:t>
      </w:r>
      <w:r w:rsidRPr="002474ED">
        <w:rPr>
          <w:rFonts w:eastAsiaTheme="minorEastAsia"/>
          <w:color w:val="0000FF"/>
        </w:rPr>
        <w:t>for monitoring</w:t>
      </w:r>
      <w:bookmarkEnd w:id="28"/>
    </w:p>
    <w:p w14:paraId="29662265" w14:textId="77777777" w:rsidR="00A77626" w:rsidRPr="002474ED" w:rsidRDefault="00A77626" w:rsidP="00A77626">
      <w:pPr>
        <w:pStyle w:val="Proposal"/>
        <w:numPr>
          <w:ilvl w:val="2"/>
          <w:numId w:val="2"/>
        </w:numPr>
        <w:tabs>
          <w:tab w:val="clear" w:pos="1701"/>
          <w:tab w:val="clear" w:pos="2160"/>
        </w:tabs>
        <w:overflowPunct w:val="0"/>
        <w:autoSpaceDE w:val="0"/>
        <w:autoSpaceDN w:val="0"/>
        <w:adjustRightInd w:val="0"/>
        <w:spacing w:after="0" w:line="240" w:lineRule="auto"/>
        <w:ind w:left="2430" w:hanging="270"/>
        <w:textAlignment w:val="baseline"/>
        <w:rPr>
          <w:rFonts w:eastAsiaTheme="minorEastAsia"/>
        </w:rPr>
      </w:pPr>
      <w:bookmarkStart w:id="29" w:name="_Toc83990576"/>
      <w:r w:rsidRPr="002474ED">
        <w:rPr>
          <w:rFonts w:eastAsiaTheme="minorEastAsia"/>
          <w:color w:val="0000FF"/>
        </w:rPr>
        <w:t>Type 1 CSS with dedicated RRC configuration, type 3 CSS, and UE-SS within Y consecutive slots</w:t>
      </w:r>
      <w:bookmarkEnd w:id="29"/>
      <w:r>
        <w:rPr>
          <w:rFonts w:eastAsiaTheme="minorEastAsia"/>
        </w:rPr>
        <w:t xml:space="preserve"> </w:t>
      </w:r>
    </w:p>
    <w:p w14:paraId="4E4257F4" w14:textId="77777777" w:rsidR="00A77626" w:rsidRDefault="00A77626" w:rsidP="00A77626">
      <w:pPr>
        <w:pStyle w:val="Proposal"/>
        <w:numPr>
          <w:ilvl w:val="3"/>
          <w:numId w:val="2"/>
        </w:numPr>
        <w:tabs>
          <w:tab w:val="clear" w:pos="1701"/>
        </w:tabs>
        <w:overflowPunct w:val="0"/>
        <w:autoSpaceDE w:val="0"/>
        <w:autoSpaceDN w:val="0"/>
        <w:adjustRightInd w:val="0"/>
        <w:spacing w:after="0" w:line="240" w:lineRule="auto"/>
        <w:textAlignment w:val="baseline"/>
        <w:rPr>
          <w:rFonts w:eastAsiaTheme="minorEastAsia"/>
        </w:rPr>
      </w:pPr>
      <w:bookmarkStart w:id="30" w:name="_Toc83990577"/>
      <w:r w:rsidRPr="00FC0E82">
        <w:rPr>
          <w:rFonts w:eastAsiaTheme="minorEastAsia"/>
        </w:rPr>
        <w:t>The location of the Y slots within the X slots is maintained across different slot groups</w:t>
      </w:r>
      <w:bookmarkEnd w:id="30"/>
    </w:p>
    <w:p w14:paraId="62350E9E" w14:textId="77777777" w:rsidR="00A77626" w:rsidRDefault="00A77626" w:rsidP="00A77626">
      <w:pPr>
        <w:pStyle w:val="Proposal"/>
        <w:numPr>
          <w:ilvl w:val="2"/>
          <w:numId w:val="2"/>
        </w:numPr>
        <w:tabs>
          <w:tab w:val="clear" w:pos="1701"/>
          <w:tab w:val="clear" w:pos="2160"/>
        </w:tabs>
        <w:overflowPunct w:val="0"/>
        <w:autoSpaceDE w:val="0"/>
        <w:autoSpaceDN w:val="0"/>
        <w:adjustRightInd w:val="0"/>
        <w:spacing w:after="0" w:line="240" w:lineRule="auto"/>
        <w:ind w:left="2430" w:hanging="270"/>
        <w:textAlignment w:val="baseline"/>
        <w:rPr>
          <w:rFonts w:eastAsiaTheme="minorEastAsia"/>
        </w:rPr>
      </w:pPr>
      <w:bookmarkStart w:id="31" w:name="_Toc83990578"/>
      <w:r w:rsidRPr="00400798">
        <w:rPr>
          <w:rFonts w:eastAsiaTheme="minorEastAsia"/>
          <w:color w:val="0000FF"/>
        </w:rPr>
        <w:t>Type 1 CSS without dedicated RRC configuration and for type 0, 0A, and 2 CSS in any 3 consecutive symbols of a slot (as in Rel-15 FG 3-1)</w:t>
      </w:r>
      <w:bookmarkEnd w:id="31"/>
      <w:r>
        <w:rPr>
          <w:rFonts w:eastAsiaTheme="minorEastAsia"/>
        </w:rPr>
        <w:t xml:space="preserve"> </w:t>
      </w:r>
    </w:p>
    <w:p w14:paraId="287EC194" w14:textId="77777777" w:rsidR="00A77626" w:rsidRDefault="00A77626" w:rsidP="00A77626">
      <w:pPr>
        <w:jc w:val="both"/>
        <w:rPr>
          <w:lang w:val="en-GB" w:eastAsia="ja-JP"/>
        </w:rPr>
      </w:pPr>
    </w:p>
    <w:p w14:paraId="41B4EE9D" w14:textId="77777777" w:rsidR="003A17BA" w:rsidRPr="005D60E6" w:rsidRDefault="003A17BA" w:rsidP="003A17BA">
      <w:pPr>
        <w:spacing w:after="120"/>
        <w:rPr>
          <w:rFonts w:eastAsia="Calibri" w:cs="Arial"/>
          <w:lang w:eastAsia="zh-CN"/>
        </w:rPr>
      </w:pPr>
      <w:r w:rsidRPr="005D60E6">
        <w:rPr>
          <w:rFonts w:eastAsia="Calibri" w:cs="Arial"/>
          <w:lang w:eastAsia="zh-CN"/>
        </w:rPr>
        <w:lastRenderedPageBreak/>
        <w:t>Incorporating the above proposed clarification, the Alt 1 operation is described as follows:</w:t>
      </w:r>
    </w:p>
    <w:p w14:paraId="5532C737" w14:textId="77777777" w:rsidR="003A17BA" w:rsidRPr="005D60E6" w:rsidRDefault="003A17BA" w:rsidP="003A17BA">
      <w:pPr>
        <w:numPr>
          <w:ilvl w:val="0"/>
          <w:numId w:val="18"/>
        </w:numPr>
        <w:tabs>
          <w:tab w:val="num" w:pos="1287"/>
        </w:tabs>
        <w:spacing w:after="120"/>
        <w:ind w:left="1287"/>
        <w:contextualSpacing/>
        <w:rPr>
          <w:rFonts w:eastAsia="Calibri" w:cs="Arial"/>
          <w:lang w:eastAsia="zh-CN"/>
        </w:rPr>
      </w:pPr>
      <w:r w:rsidRPr="005D60E6">
        <w:rPr>
          <w:rFonts w:eastAsia="Calibri" w:cs="Arial"/>
          <w:lang w:val="en-GB" w:eastAsia="zh-CN"/>
        </w:rPr>
        <w:t xml:space="preserve">Alt 1: Use a fixed pattern of slot groups as the baseline to define the new capability. </w:t>
      </w:r>
    </w:p>
    <w:p w14:paraId="18115C14" w14:textId="77777777" w:rsidR="003A17BA" w:rsidRPr="005D60E6" w:rsidRDefault="003A17BA" w:rsidP="003A17BA">
      <w:pPr>
        <w:numPr>
          <w:ilvl w:val="1"/>
          <w:numId w:val="18"/>
        </w:numPr>
        <w:tabs>
          <w:tab w:val="num" w:pos="2007"/>
        </w:tabs>
        <w:spacing w:after="120"/>
        <w:ind w:left="2007"/>
        <w:contextualSpacing/>
        <w:rPr>
          <w:rFonts w:eastAsia="Calibri" w:cs="Arial"/>
          <w:lang w:val="en-GB" w:eastAsia="zh-CN"/>
        </w:rPr>
      </w:pPr>
      <w:r w:rsidRPr="005D60E6">
        <w:rPr>
          <w:rFonts w:eastAsia="Calibri" w:cs="Arial"/>
          <w:lang w:val="en-GB" w:eastAsia="zh-CN"/>
        </w:rPr>
        <w:t>Each slot group consists of X slots</w:t>
      </w:r>
    </w:p>
    <w:p w14:paraId="6D062F99" w14:textId="77777777" w:rsidR="003A17BA" w:rsidRPr="005D60E6" w:rsidRDefault="003A17BA" w:rsidP="003A17BA">
      <w:pPr>
        <w:numPr>
          <w:ilvl w:val="1"/>
          <w:numId w:val="18"/>
        </w:numPr>
        <w:tabs>
          <w:tab w:val="num" w:pos="2007"/>
        </w:tabs>
        <w:spacing w:after="120"/>
        <w:ind w:left="2007"/>
        <w:contextualSpacing/>
        <w:rPr>
          <w:rFonts w:eastAsia="Calibri" w:cs="Arial"/>
          <w:lang w:val="en-GB" w:eastAsia="zh-CN"/>
        </w:rPr>
      </w:pPr>
      <w:r w:rsidRPr="005D60E6">
        <w:rPr>
          <w:rFonts w:eastAsia="Calibri" w:cs="Arial"/>
          <w:lang w:val="en-GB" w:eastAsia="zh-CN"/>
        </w:rPr>
        <w:t>Slot groups are consecutive and non-overlapping</w:t>
      </w:r>
    </w:p>
    <w:p w14:paraId="215CF399" w14:textId="77777777" w:rsidR="003A17BA" w:rsidRPr="005D60E6" w:rsidRDefault="003A17BA" w:rsidP="003A17BA">
      <w:pPr>
        <w:numPr>
          <w:ilvl w:val="1"/>
          <w:numId w:val="18"/>
        </w:numPr>
        <w:tabs>
          <w:tab w:val="num" w:pos="2007"/>
        </w:tabs>
        <w:spacing w:after="120"/>
        <w:ind w:left="2007"/>
        <w:contextualSpacing/>
        <w:rPr>
          <w:rFonts w:eastAsia="Calibri" w:cs="Arial"/>
          <w:lang w:val="en-GB" w:eastAsia="zh-CN"/>
        </w:rPr>
      </w:pPr>
      <w:r w:rsidRPr="005D60E6">
        <w:rPr>
          <w:rFonts w:eastAsia="Calibri" w:cs="Arial"/>
          <w:lang w:val="en-GB" w:eastAsia="zh-CN"/>
        </w:rPr>
        <w:t xml:space="preserve">The capability indicates the BD/CCE budget within </w:t>
      </w:r>
      <w:r w:rsidRPr="005D60E6">
        <w:rPr>
          <w:rFonts w:eastAsia="Calibri" w:cs="Arial"/>
          <w:strike/>
          <w:color w:val="0000FF"/>
          <w:lang w:val="en-GB" w:eastAsia="zh-CN"/>
        </w:rPr>
        <w:t>Y consecutive slots in</w:t>
      </w:r>
      <w:r w:rsidRPr="005D60E6">
        <w:rPr>
          <w:rFonts w:eastAsia="Calibri" w:cs="Arial"/>
          <w:lang w:val="en-GB" w:eastAsia="zh-CN"/>
        </w:rPr>
        <w:t xml:space="preserve"> each </w:t>
      </w:r>
      <w:r w:rsidRPr="005D60E6">
        <w:rPr>
          <w:rFonts w:eastAsia="Calibri" w:cs="Arial"/>
          <w:color w:val="0000FF"/>
          <w:lang w:val="en-GB" w:eastAsia="zh-CN"/>
        </w:rPr>
        <w:t>X-</w:t>
      </w:r>
      <w:r w:rsidRPr="005D60E6">
        <w:rPr>
          <w:rFonts w:eastAsia="Calibri" w:cs="Arial"/>
          <w:lang w:val="en-GB" w:eastAsia="zh-CN"/>
        </w:rPr>
        <w:t xml:space="preserve">slot group </w:t>
      </w:r>
      <w:r w:rsidRPr="005D60E6">
        <w:rPr>
          <w:rFonts w:eastAsia="Calibri" w:cs="Arial"/>
          <w:color w:val="0000FF"/>
          <w:lang w:val="en-GB" w:eastAsia="zh-CN"/>
        </w:rPr>
        <w:t>for monitoring</w:t>
      </w:r>
    </w:p>
    <w:p w14:paraId="05FA0788" w14:textId="77777777" w:rsidR="003A17BA" w:rsidRPr="005D60E6" w:rsidRDefault="003A17BA" w:rsidP="003A17BA">
      <w:pPr>
        <w:numPr>
          <w:ilvl w:val="2"/>
          <w:numId w:val="18"/>
        </w:numPr>
        <w:spacing w:after="120"/>
        <w:ind w:left="2610"/>
        <w:contextualSpacing/>
        <w:rPr>
          <w:rFonts w:eastAsia="Calibri" w:cs="Arial"/>
          <w:color w:val="0000FF"/>
          <w:lang w:val="en-GB" w:eastAsia="zh-CN"/>
        </w:rPr>
      </w:pPr>
      <w:r w:rsidRPr="005D60E6">
        <w:rPr>
          <w:rFonts w:eastAsia="Calibri" w:cs="Arial"/>
          <w:color w:val="0000FF"/>
          <w:lang w:eastAsia="zh-CN"/>
        </w:rPr>
        <w:t>Type 1 CSS with dedicated RRC configuration, type 3 CSS, and UE-SS</w:t>
      </w:r>
      <w:r w:rsidRPr="005D60E6">
        <w:rPr>
          <w:rFonts w:eastAsia="Calibri" w:cs="Arial"/>
          <w:color w:val="0000FF"/>
          <w:lang w:val="en-GB" w:eastAsia="zh-CN"/>
        </w:rPr>
        <w:t xml:space="preserve"> within Y consecutive slots</w:t>
      </w:r>
    </w:p>
    <w:p w14:paraId="63FFA2CD" w14:textId="77777777" w:rsidR="003A17BA" w:rsidRPr="005D60E6" w:rsidRDefault="003A17BA" w:rsidP="003A17BA">
      <w:pPr>
        <w:numPr>
          <w:ilvl w:val="3"/>
          <w:numId w:val="18"/>
        </w:numPr>
        <w:spacing w:after="120"/>
        <w:ind w:left="3060"/>
        <w:contextualSpacing/>
        <w:rPr>
          <w:rFonts w:eastAsia="Calibri" w:cs="Arial"/>
          <w:lang w:val="en-GB" w:eastAsia="zh-CN"/>
        </w:rPr>
      </w:pPr>
      <w:r w:rsidRPr="005D60E6">
        <w:rPr>
          <w:rFonts w:eastAsia="Calibri" w:cs="Arial"/>
          <w:lang w:val="en-GB" w:eastAsia="zh-CN"/>
        </w:rPr>
        <w:t>The location of the Y slots within the X slots is maintained across different slot groups</w:t>
      </w:r>
    </w:p>
    <w:p w14:paraId="61158DBA" w14:textId="77777777" w:rsidR="003A17BA" w:rsidRPr="005D60E6" w:rsidRDefault="003A17BA" w:rsidP="003A17BA">
      <w:pPr>
        <w:numPr>
          <w:ilvl w:val="2"/>
          <w:numId w:val="18"/>
        </w:numPr>
        <w:spacing w:after="120"/>
        <w:ind w:left="2610"/>
        <w:contextualSpacing/>
        <w:rPr>
          <w:rFonts w:eastAsia="Calibri" w:cs="Arial"/>
          <w:color w:val="0000FF"/>
          <w:lang w:val="en-GB" w:eastAsia="zh-CN"/>
        </w:rPr>
      </w:pPr>
      <w:r w:rsidRPr="005D60E6">
        <w:rPr>
          <w:rFonts w:eastAsia="Calibri" w:cs="Arial"/>
          <w:color w:val="0000FF"/>
          <w:lang w:eastAsia="zh-CN"/>
        </w:rPr>
        <w:t>Type 1 CSS without dedicated RRC configuration and for type 0, 0A, and 2 CSS</w:t>
      </w:r>
      <w:r w:rsidRPr="005D60E6">
        <w:rPr>
          <w:rFonts w:eastAsia="Calibri" w:cs="Arial"/>
          <w:color w:val="0000FF"/>
          <w:lang w:val="en-GB" w:eastAsia="zh-CN"/>
        </w:rPr>
        <w:t xml:space="preserve"> in any 3 consecutive symbols of a slot (as in Rel-15 FG 3-1)</w:t>
      </w:r>
    </w:p>
    <w:p w14:paraId="12EB110F" w14:textId="77777777" w:rsidR="003A17BA" w:rsidRPr="005D60E6" w:rsidRDefault="003A17BA" w:rsidP="003A17BA">
      <w:pPr>
        <w:numPr>
          <w:ilvl w:val="1"/>
          <w:numId w:val="18"/>
        </w:numPr>
        <w:tabs>
          <w:tab w:val="num" w:pos="2007"/>
        </w:tabs>
        <w:spacing w:after="120"/>
        <w:ind w:left="2007"/>
        <w:contextualSpacing/>
        <w:rPr>
          <w:rFonts w:eastAsia="Calibri" w:cs="Arial"/>
          <w:lang w:val="en-GB" w:eastAsia="zh-CN"/>
        </w:rPr>
      </w:pPr>
      <w:r w:rsidRPr="005D60E6">
        <w:rPr>
          <w:rFonts w:eastAsia="Calibri" w:cs="Arial"/>
          <w:lang w:val="en-GB" w:eastAsia="zh-CN"/>
        </w:rPr>
        <w:t>Further discuss down-selection of Y within 1&lt;=Y&lt;=X/2 (both in units of slot) when X&gt;1</w:t>
      </w:r>
    </w:p>
    <w:p w14:paraId="5EFA22EC" w14:textId="77777777" w:rsidR="003A17BA" w:rsidRPr="005D60E6" w:rsidRDefault="003A17BA" w:rsidP="003A17BA">
      <w:pPr>
        <w:numPr>
          <w:ilvl w:val="1"/>
          <w:numId w:val="18"/>
        </w:numPr>
        <w:tabs>
          <w:tab w:val="num" w:pos="2007"/>
        </w:tabs>
        <w:spacing w:after="120"/>
        <w:ind w:left="2007"/>
        <w:contextualSpacing/>
        <w:rPr>
          <w:rFonts w:eastAsia="Calibri" w:cs="Arial"/>
          <w:lang w:val="en-GB" w:eastAsia="zh-CN"/>
        </w:rPr>
      </w:pPr>
      <w:r w:rsidRPr="005D60E6">
        <w:rPr>
          <w:rFonts w:eastAsia="Calibri" w:cs="Arial"/>
          <w:lang w:val="en-GB" w:eastAsia="zh-CN"/>
        </w:rPr>
        <w:t>FFS: Further definition of capabilities</w:t>
      </w:r>
    </w:p>
    <w:p w14:paraId="3D1A9399" w14:textId="77777777" w:rsidR="003A17BA" w:rsidRPr="005D60E6" w:rsidRDefault="003A17BA" w:rsidP="003A17BA">
      <w:pPr>
        <w:numPr>
          <w:ilvl w:val="1"/>
          <w:numId w:val="18"/>
        </w:numPr>
        <w:tabs>
          <w:tab w:val="num" w:pos="2007"/>
        </w:tabs>
        <w:spacing w:after="120"/>
        <w:ind w:left="2007"/>
        <w:contextualSpacing/>
        <w:rPr>
          <w:rFonts w:eastAsia="Calibri" w:cs="Arial"/>
          <w:lang w:val="en-GB" w:eastAsia="zh-CN"/>
        </w:rPr>
      </w:pPr>
      <w:r w:rsidRPr="005D60E6">
        <w:rPr>
          <w:rFonts w:eastAsia="Calibri" w:cs="Arial"/>
          <w:lang w:val="en-GB" w:eastAsia="zh-CN"/>
        </w:rPr>
        <w:t>FFS: The following issues for the search space configuration discussion</w:t>
      </w:r>
    </w:p>
    <w:p w14:paraId="3F9D2295" w14:textId="77777777" w:rsidR="003A17BA" w:rsidRPr="005D60E6" w:rsidRDefault="003A17BA" w:rsidP="003A17BA">
      <w:pPr>
        <w:numPr>
          <w:ilvl w:val="2"/>
          <w:numId w:val="18"/>
        </w:numPr>
        <w:tabs>
          <w:tab w:val="num" w:pos="2007"/>
        </w:tabs>
        <w:spacing w:after="120"/>
        <w:ind w:left="2610"/>
        <w:contextualSpacing/>
        <w:rPr>
          <w:rFonts w:eastAsia="Calibri" w:cs="Arial"/>
          <w:lang w:val="en-GB" w:eastAsia="zh-CN"/>
        </w:rPr>
      </w:pPr>
      <w:r w:rsidRPr="005D60E6">
        <w:rPr>
          <w:rFonts w:eastAsia="Calibri" w:cs="Arial"/>
          <w:lang w:val="en-GB" w:eastAsia="zh-CN"/>
        </w:rPr>
        <w:t>Whether a slot group is aligned with a slot boundary</w:t>
      </w:r>
    </w:p>
    <w:p w14:paraId="0A448B58" w14:textId="77777777" w:rsidR="003A17BA" w:rsidRPr="005D60E6" w:rsidRDefault="003A17BA" w:rsidP="003A17BA">
      <w:pPr>
        <w:numPr>
          <w:ilvl w:val="2"/>
          <w:numId w:val="18"/>
        </w:numPr>
        <w:tabs>
          <w:tab w:val="num" w:pos="2007"/>
        </w:tabs>
        <w:spacing w:after="120"/>
        <w:ind w:left="2610"/>
        <w:contextualSpacing/>
        <w:rPr>
          <w:rFonts w:eastAsia="Calibri" w:cs="Arial"/>
          <w:lang w:val="en-GB" w:eastAsia="zh-CN"/>
        </w:rPr>
      </w:pPr>
      <w:r w:rsidRPr="005D60E6">
        <w:rPr>
          <w:rFonts w:eastAsia="Calibri" w:cs="Arial"/>
          <w:lang w:val="en-GB" w:eastAsia="zh-CN"/>
        </w:rPr>
        <w:t xml:space="preserve">Restrictions on location of the Y slots within a slot group, </w:t>
      </w:r>
      <w:proofErr w:type="gramStart"/>
      <w:r w:rsidRPr="005D60E6">
        <w:rPr>
          <w:rFonts w:eastAsia="Calibri" w:cs="Arial"/>
          <w:lang w:val="en-GB" w:eastAsia="zh-CN"/>
        </w:rPr>
        <w:t>e.g.</w:t>
      </w:r>
      <w:proofErr w:type="gramEnd"/>
      <w:r w:rsidRPr="005D60E6">
        <w:rPr>
          <w:rFonts w:eastAsia="Calibri" w:cs="Arial"/>
          <w:lang w:val="en-GB" w:eastAsia="zh-CN"/>
        </w:rPr>
        <w:t xml:space="preserve"> whether to restrict the location of a SS to be within the first Y slots within a slot group</w:t>
      </w:r>
    </w:p>
    <w:p w14:paraId="02A260F3" w14:textId="77777777" w:rsidR="003A17BA" w:rsidRPr="005D60E6" w:rsidRDefault="003A17BA" w:rsidP="003A17BA">
      <w:pPr>
        <w:numPr>
          <w:ilvl w:val="1"/>
          <w:numId w:val="18"/>
        </w:numPr>
        <w:tabs>
          <w:tab w:val="num" w:pos="2007"/>
        </w:tabs>
        <w:spacing w:after="120"/>
        <w:ind w:left="2007"/>
        <w:rPr>
          <w:rFonts w:eastAsia="Calibri" w:cs="Arial"/>
          <w:lang w:val="en-GB" w:eastAsia="zh-CN"/>
        </w:rPr>
      </w:pPr>
      <w:r w:rsidRPr="005D60E6">
        <w:rPr>
          <w:rFonts w:eastAsia="Calibri" w:cs="Arial"/>
          <w:lang w:val="en-GB" w:eastAsia="zh-CN"/>
        </w:rPr>
        <w:t>FFS: What the UE capability defines for monitoring within the Y slots</w:t>
      </w:r>
    </w:p>
    <w:p w14:paraId="4FCE073E" w14:textId="77777777" w:rsidR="00A77626" w:rsidRPr="00A77626" w:rsidRDefault="00A77626" w:rsidP="00005281">
      <w:pPr>
        <w:pStyle w:val="BodyText"/>
      </w:pPr>
    </w:p>
    <w:p w14:paraId="4E1BB9A9" w14:textId="5544E8D6" w:rsidR="00C143A0" w:rsidRDefault="007C73A9" w:rsidP="00005281">
      <w:pPr>
        <w:pStyle w:val="BodyText"/>
        <w:rPr>
          <w:rFonts w:eastAsia="Times New Roman" w:cs="Times New Roman"/>
          <w:lang w:eastAsia="ja-JP"/>
        </w:rPr>
      </w:pPr>
      <w:r>
        <w:t xml:space="preserve">In the last RAN1 meeting, the operation of </w:t>
      </w:r>
      <w:r w:rsidRPr="007C73A9">
        <w:t xml:space="preserve">multi-slot PDCCH </w:t>
      </w:r>
      <w:r>
        <w:t xml:space="preserve">monitoring Alt 1 has been clarified </w:t>
      </w:r>
      <w:r w:rsidR="00D30A5D">
        <w:t xml:space="preserve">that </w:t>
      </w:r>
      <w:r w:rsidR="008C713C">
        <w:t>t</w:t>
      </w:r>
      <w:r w:rsidR="008C713C" w:rsidRPr="008C713C">
        <w:rPr>
          <w:rFonts w:eastAsia="Times New Roman" w:cs="Times New Roman"/>
          <w:lang w:eastAsia="ja-JP"/>
        </w:rPr>
        <w:t>he location of the Y slots within the X slots is maintained across different slot groups</w:t>
      </w:r>
      <w:r w:rsidR="008C713C">
        <w:rPr>
          <w:rFonts w:eastAsia="Times New Roman" w:cs="Times New Roman"/>
          <w:lang w:eastAsia="ja-JP"/>
        </w:rPr>
        <w:t xml:space="preserve">. </w:t>
      </w:r>
      <w:r w:rsidR="00B43DEA">
        <w:rPr>
          <w:rFonts w:eastAsia="Times New Roman" w:cs="Times New Roman"/>
          <w:lang w:eastAsia="ja-JP"/>
        </w:rPr>
        <w:t>Several companies provided views during the RAN1 #106e email discussion regarding the following FFS:</w:t>
      </w:r>
    </w:p>
    <w:p w14:paraId="13F9BDA7" w14:textId="0F19FBCA" w:rsidR="00DB470A" w:rsidRPr="008C713C" w:rsidRDefault="00DB470A" w:rsidP="001233E2">
      <w:pPr>
        <w:pStyle w:val="StyleListParagraph-BulletsLista11"/>
        <w:numPr>
          <w:ilvl w:val="0"/>
          <w:numId w:val="23"/>
        </w:numPr>
        <w:spacing w:after="160"/>
        <w:contextualSpacing/>
        <w:rPr>
          <w:lang w:val="en-US" w:eastAsia="ja-JP"/>
        </w:rPr>
      </w:pPr>
      <w:r w:rsidRPr="005D60E6">
        <w:rPr>
          <w:rFonts w:eastAsia="Calibri" w:cs="Arial"/>
          <w:lang w:val="en-GB" w:eastAsia="zh-CN"/>
        </w:rPr>
        <w:t>Restrictions on location of the Y slots within a slot group, e.g.</w:t>
      </w:r>
      <w:r w:rsidR="00635DC5">
        <w:rPr>
          <w:rFonts w:eastAsia="Calibri" w:cs="Arial"/>
          <w:lang w:val="en-GB" w:eastAsia="zh-CN"/>
        </w:rPr>
        <w:t>,</w:t>
      </w:r>
      <w:r w:rsidRPr="005D60E6">
        <w:rPr>
          <w:rFonts w:eastAsia="Calibri" w:cs="Arial"/>
          <w:lang w:val="en-GB" w:eastAsia="zh-CN"/>
        </w:rPr>
        <w:t xml:space="preserve"> whether to restrict the location of a SS to be within the first Y slots within a slot group</w:t>
      </w:r>
    </w:p>
    <w:p w14:paraId="6EDFF595" w14:textId="50F6D824" w:rsidR="00C717C9" w:rsidRDefault="004B787C" w:rsidP="00005281">
      <w:pPr>
        <w:pStyle w:val="BodyText"/>
      </w:pPr>
      <w:r>
        <w:t xml:space="preserve">Note that, </w:t>
      </w:r>
      <w:proofErr w:type="gramStart"/>
      <w:r>
        <w:t>a</w:t>
      </w:r>
      <w:r w:rsidRPr="006C7802">
        <w:t>s long as</w:t>
      </w:r>
      <w:proofErr w:type="gramEnd"/>
      <w:r w:rsidRPr="006C7802">
        <w:t xml:space="preserve"> Y</w:t>
      </w:r>
      <w:r>
        <w:rPr>
          <w:rFonts w:ascii="Cambria Math" w:hAnsi="Cambria Math"/>
        </w:rPr>
        <w:t>≤</w:t>
      </w:r>
      <w:r>
        <w:t>X/2</w:t>
      </w:r>
      <w:r w:rsidRPr="006C7802">
        <w:t xml:space="preserve"> </w:t>
      </w:r>
      <w:r>
        <w:t xml:space="preserve">is </w:t>
      </w:r>
      <w:r w:rsidRPr="006C7802">
        <w:t>fixed within the X</w:t>
      </w:r>
      <w:r w:rsidR="00C717C9">
        <w:t>-</w:t>
      </w:r>
      <w:r w:rsidRPr="006C7802">
        <w:t>slot</w:t>
      </w:r>
      <w:r w:rsidR="00C717C9">
        <w:t xml:space="preserve"> windows</w:t>
      </w:r>
      <w:r>
        <w:t xml:space="preserve">, </w:t>
      </w:r>
      <w:r w:rsidR="00C717C9">
        <w:t>back-to-back PDCCH processing overloading is avoided. Hence, s</w:t>
      </w:r>
      <w:r w:rsidR="00C23519">
        <w:t>everal companies expressed t</w:t>
      </w:r>
      <w:r w:rsidR="00F64C01">
        <w:t>he view that</w:t>
      </w:r>
      <w:r w:rsidR="00342411">
        <w:t xml:space="preserve">, </w:t>
      </w:r>
      <w:proofErr w:type="gramStart"/>
      <w:r w:rsidR="00342411">
        <w:t>as long as</w:t>
      </w:r>
      <w:proofErr w:type="gramEnd"/>
      <w:r w:rsidR="00342411">
        <w:t xml:space="preserve"> the Y-slot location within each </w:t>
      </w:r>
      <w:r w:rsidR="00342411" w:rsidRPr="006C7802">
        <w:t>X</w:t>
      </w:r>
      <w:r w:rsidR="00342411">
        <w:t>-</w:t>
      </w:r>
      <w:r w:rsidR="00342411" w:rsidRPr="006C7802">
        <w:t>slot</w:t>
      </w:r>
      <w:r w:rsidR="00342411">
        <w:t xml:space="preserve"> window is maintained</w:t>
      </w:r>
      <w:r w:rsidR="00AF450D">
        <w:t xml:space="preserve">, there is no particular </w:t>
      </w:r>
      <w:r w:rsidR="00752E1C">
        <w:t>necessary conditions favoring, e.g., the first Y slots wi</w:t>
      </w:r>
      <w:r w:rsidR="0031178A">
        <w:t xml:space="preserve">thin each </w:t>
      </w:r>
      <w:r w:rsidR="0031178A" w:rsidRPr="006C7802">
        <w:t>X</w:t>
      </w:r>
      <w:r w:rsidR="0031178A">
        <w:t>-</w:t>
      </w:r>
      <w:r w:rsidR="0031178A" w:rsidRPr="006C7802">
        <w:t>slot</w:t>
      </w:r>
      <w:r w:rsidR="0031178A">
        <w:t xml:space="preserve"> window vs the last Y slots. </w:t>
      </w:r>
      <w:r w:rsidR="00976F0C">
        <w:t>We agree with this analysis in general.</w:t>
      </w:r>
    </w:p>
    <w:p w14:paraId="269BDF13" w14:textId="4DF3B25D" w:rsidR="003800D9" w:rsidRDefault="00464E87" w:rsidP="003800D9">
      <w:pPr>
        <w:pStyle w:val="BodyText"/>
      </w:pPr>
      <w:r>
        <w:t xml:space="preserve">However, the equivalence between the possible locations of Y slots may further </w:t>
      </w:r>
      <w:r w:rsidR="00297481">
        <w:t xml:space="preserve">offer system configuration and operation complexity reduction benefits. </w:t>
      </w:r>
      <w:r w:rsidR="00B006FD">
        <w:t xml:space="preserve">That is, e.g., fixing the </w:t>
      </w:r>
      <w:r w:rsidR="00321875">
        <w:t xml:space="preserve">Y slots to be always at the beginning of each X-slot windows may allow simpler </w:t>
      </w:r>
      <w:r w:rsidR="003D5CC5">
        <w:t xml:space="preserve">configuration parameters and protocols. </w:t>
      </w:r>
      <w:r w:rsidR="005B1961">
        <w:t>In</w:t>
      </w:r>
      <w:r w:rsidR="00E26669">
        <w:t xml:space="preserve"> our view</w:t>
      </w:r>
      <w:r w:rsidR="005B1961">
        <w:t xml:space="preserve">, </w:t>
      </w:r>
      <w:r w:rsidR="003800D9">
        <w:t xml:space="preserve">restricting Y to be the first slots of the X-slot group and be the same for all UEs is no worse in terms of network flexibility than for the mandatory monitoring capability defined in Rel-15/16 for 120 kHz SCS. Observing that </w:t>
      </w:r>
      <w:r w:rsidR="00AB524C">
        <w:t>RAN1 has only agree</w:t>
      </w:r>
      <w:r w:rsidR="00B53C5C">
        <w:t xml:space="preserve">d </w:t>
      </w:r>
      <w:r w:rsidR="001E662B">
        <w:t xml:space="preserve">to </w:t>
      </w:r>
      <w:r w:rsidR="003800D9">
        <w:t xml:space="preserve">processing </w:t>
      </w:r>
      <w:r w:rsidR="005F2CA3">
        <w:t>latency requirements</w:t>
      </w:r>
      <w:r w:rsidR="00B33F73">
        <w:t xml:space="preserve"> (in terms of </w:t>
      </w:r>
      <w:r w:rsidR="00B33F73">
        <w:rPr>
          <w:rFonts w:ascii="Cambria Math" w:hAnsi="Cambria Math"/>
        </w:rPr>
        <w:t>μ</w:t>
      </w:r>
      <w:r w:rsidR="00B33F73">
        <w:t>s)</w:t>
      </w:r>
      <w:r w:rsidR="003800D9">
        <w:t xml:space="preserve"> for 480/960 kHz SCS on the same level as for 120 kHz SCS, </w:t>
      </w:r>
      <w:r w:rsidR="00B53C5C">
        <w:t xml:space="preserve">there is no evidence or evaluation result </w:t>
      </w:r>
      <w:r w:rsidR="003800D9">
        <w:t xml:space="preserve">to </w:t>
      </w:r>
      <w:r w:rsidR="00B53C5C">
        <w:t xml:space="preserve">indicate </w:t>
      </w:r>
      <w:r w:rsidR="003800D9">
        <w:t>the necessity or utility of much more SS configuration flexibility alone.</w:t>
      </w:r>
    </w:p>
    <w:p w14:paraId="4EFA35C8" w14:textId="6FEE0BA0" w:rsidR="003D5CC5" w:rsidRDefault="003D5CC5" w:rsidP="00005281">
      <w:pPr>
        <w:pStyle w:val="BodyText"/>
      </w:pPr>
    </w:p>
    <w:p w14:paraId="15F44DCF" w14:textId="07EAC306" w:rsidR="003D5CC5" w:rsidRPr="00527D78" w:rsidRDefault="003D5CC5" w:rsidP="003D5CC5">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32" w:name="_Toc83990579"/>
      <w:r>
        <w:rPr>
          <w:rFonts w:cs="Arial"/>
          <w:szCs w:val="20"/>
          <w:lang w:eastAsia="x-none"/>
        </w:rPr>
        <w:t xml:space="preserve">For multi-slot PDCCH monitoring </w:t>
      </w:r>
      <w:r w:rsidR="00E82B0D">
        <w:rPr>
          <w:rFonts w:cs="Arial"/>
          <w:szCs w:val="20"/>
          <w:lang w:eastAsia="x-none"/>
        </w:rPr>
        <w:t xml:space="preserve">Alt 1 </w:t>
      </w:r>
      <w:r>
        <w:rPr>
          <w:rFonts w:cs="Arial"/>
          <w:szCs w:val="20"/>
          <w:lang w:eastAsia="x-none"/>
        </w:rPr>
        <w:t xml:space="preserve">with 480/960 kHz SCS, </w:t>
      </w:r>
      <w:r w:rsidR="00E82B0D">
        <w:rPr>
          <w:rFonts w:cs="Arial"/>
          <w:szCs w:val="20"/>
          <w:lang w:eastAsia="x-none"/>
        </w:rPr>
        <w:t>RAN1 to consider restric</w:t>
      </w:r>
      <w:r w:rsidR="00FD0DDA">
        <w:rPr>
          <w:rFonts w:cs="Arial"/>
          <w:szCs w:val="20"/>
          <w:lang w:eastAsia="x-none"/>
        </w:rPr>
        <w:t xml:space="preserve">ting </w:t>
      </w:r>
      <w:r w:rsidR="00FD0DDA">
        <w:t xml:space="preserve">Y slots to be at the beginning of each X-slot windows </w:t>
      </w:r>
      <w:r w:rsidR="00FC74D6">
        <w:t xml:space="preserve">for </w:t>
      </w:r>
      <w:r w:rsidR="00FC74D6" w:rsidRPr="004450C3">
        <w:rPr>
          <w:lang w:eastAsia="ja-JP"/>
        </w:rPr>
        <w:t>type 1 CSS with dedicated RRC configuration, type 3 CSS, and UE-SS</w:t>
      </w:r>
      <w:r w:rsidR="00FC74D6">
        <w:t xml:space="preserve"> </w:t>
      </w:r>
      <w:r w:rsidR="00F36719">
        <w:t xml:space="preserve">as an approach to simplify </w:t>
      </w:r>
      <w:r w:rsidR="00F36719">
        <w:rPr>
          <w:rFonts w:cs="Arial"/>
          <w:szCs w:val="20"/>
          <w:lang w:eastAsia="x-none"/>
        </w:rPr>
        <w:t xml:space="preserve">multi-slot PDCCH monitoring </w:t>
      </w:r>
      <w:r w:rsidR="004549B0">
        <w:t>configuration parameters and protocols as well as to reduce implementation complexity</w:t>
      </w:r>
      <w:r>
        <w:rPr>
          <w:rFonts w:eastAsiaTheme="minorEastAsia"/>
        </w:rPr>
        <w:t>.</w:t>
      </w:r>
      <w:bookmarkEnd w:id="32"/>
    </w:p>
    <w:p w14:paraId="429D8255" w14:textId="380CE4B6" w:rsidR="002D0436" w:rsidRDefault="002D0436" w:rsidP="000B1B53">
      <w:pPr>
        <w:pStyle w:val="BodyText"/>
      </w:pPr>
    </w:p>
    <w:p w14:paraId="21F058CD" w14:textId="07D44AC1" w:rsidR="000600F4" w:rsidRDefault="000600F4" w:rsidP="000600F4">
      <w:pPr>
        <w:pStyle w:val="Heading3"/>
      </w:pPr>
      <w:bookmarkStart w:id="33" w:name="_Toc67653042"/>
      <w:r>
        <w:t>2.3.</w:t>
      </w:r>
      <w:r w:rsidR="00370DD5">
        <w:t>3</w:t>
      </w:r>
      <w:r w:rsidRPr="00C81EDA">
        <w:tab/>
      </w:r>
      <w:r w:rsidRPr="00D23238">
        <w:t xml:space="preserve">Alt </w:t>
      </w:r>
      <w:r>
        <w:t>2</w:t>
      </w:r>
      <w:r w:rsidRPr="00D23238">
        <w:t xml:space="preserve">: </w:t>
      </w:r>
      <w:r>
        <w:t xml:space="preserve">Extension of </w:t>
      </w:r>
      <w:r w:rsidRPr="00C639AF">
        <w:rPr>
          <w:i/>
          <w:iCs/>
          <w:lang w:val="en-US"/>
        </w:rPr>
        <w:t>pdcch-Monitoring-r16</w:t>
      </w:r>
      <w:r w:rsidRPr="00C639AF">
        <w:rPr>
          <w:lang w:val="en-US"/>
        </w:rPr>
        <w:t>, (X, Y) span</w:t>
      </w:r>
      <w:bookmarkEnd w:id="33"/>
    </w:p>
    <w:p w14:paraId="4E0F02EB" w14:textId="77777777" w:rsidR="00527985" w:rsidRDefault="00527985" w:rsidP="00527985">
      <w:pPr>
        <w:pStyle w:val="BodyText"/>
      </w:pPr>
      <w:r>
        <w:t xml:space="preserve">Alt 2 is based on PDCCH monitoring </w:t>
      </w:r>
      <w:r w:rsidRPr="003D629D">
        <w:rPr>
          <w:i/>
          <w:iCs/>
        </w:rPr>
        <w:t>per-span</w:t>
      </w:r>
      <w:r>
        <w:t xml:space="preserve"> as described in 38.213 Section 10 for the case that the UE is configured with </w:t>
      </w:r>
      <w:proofErr w:type="spellStart"/>
      <w:r w:rsidRPr="003D629D">
        <w:rPr>
          <w:i/>
          <w:iCs/>
        </w:rPr>
        <w:t>monitoringCapabilityConfig</w:t>
      </w:r>
      <w:proofErr w:type="spellEnd"/>
      <w:r w:rsidRPr="00FE64B0">
        <w:t xml:space="preserve"> = </w:t>
      </w:r>
      <w:r w:rsidRPr="003D629D">
        <w:rPr>
          <w:i/>
          <w:iCs/>
        </w:rPr>
        <w:t>r16monitoringcapability</w:t>
      </w:r>
      <w:r>
        <w:t>. With per-span monitoring in Rel-16, several (</w:t>
      </w:r>
      <w:proofErr w:type="gramStart"/>
      <w:r>
        <w:t>X,Y</w:t>
      </w:r>
      <w:proofErr w:type="gramEnd"/>
      <w:r>
        <w:t>) combinations are supported, specifically (2,2) (4,3) (7,3). All PDCCH monitoring occasions shall be located within Y consecutive symbols defined as the span. For Alt-2, the same framework is proposed, but with values of X and Y that can take values greater than 14 OS to cover several slots. Whether (</w:t>
      </w:r>
      <w:proofErr w:type="gramStart"/>
      <w:r>
        <w:t>X,Y</w:t>
      </w:r>
      <w:proofErr w:type="gramEnd"/>
      <w:r>
        <w:t>) is measured in symbols or slots is still an open question.</w:t>
      </w:r>
    </w:p>
    <w:p w14:paraId="58206241" w14:textId="2903566E" w:rsidR="00A92710" w:rsidRDefault="00E97B45" w:rsidP="00E97B45">
      <w:pPr>
        <w:pStyle w:val="BodyText"/>
      </w:pPr>
      <w:r>
        <w:lastRenderedPageBreak/>
        <w:t xml:space="preserve">The main difference between Alt 2 and Alt 1 is that the time duration X is floating/sliding such that Alt 2 </w:t>
      </w:r>
      <w:r w:rsidR="00E06C9E">
        <w:t>may</w:t>
      </w:r>
      <w:r>
        <w:t xml:space="preserve"> support PDCCH monitoring in more flexible slot locations.</w:t>
      </w:r>
      <w:r w:rsidR="00BA2D6D">
        <w:t xml:space="preserve"> </w:t>
      </w:r>
      <w:r w:rsidR="00F00921">
        <w:t xml:space="preserve">However, such flexibility offered by the floating spans can induce </w:t>
      </w:r>
      <w:r w:rsidR="00791AD8">
        <w:t>several system operation and complexity issues.</w:t>
      </w:r>
    </w:p>
    <w:p w14:paraId="0017930E" w14:textId="5AE7E8D0" w:rsidR="00791AD8" w:rsidRDefault="00791AD8" w:rsidP="00791AD8">
      <w:pPr>
        <w:pStyle w:val="BodyText"/>
        <w:numPr>
          <w:ilvl w:val="0"/>
          <w:numId w:val="42"/>
        </w:numPr>
      </w:pPr>
      <w:r>
        <w:t xml:space="preserve">Difficulty of handling existing NR initial access / IDLE mode operations without extensive </w:t>
      </w:r>
      <w:r w:rsidR="00E63A0E">
        <w:t>specifications and implementation changes to both UE and gNB.</w:t>
      </w:r>
    </w:p>
    <w:p w14:paraId="0DDB6588" w14:textId="2971EFA0" w:rsidR="00C65007" w:rsidRDefault="00AB7932" w:rsidP="00791AD8">
      <w:pPr>
        <w:pStyle w:val="BodyText"/>
        <w:numPr>
          <w:ilvl w:val="0"/>
          <w:numId w:val="42"/>
        </w:numPr>
      </w:pPr>
      <w:r>
        <w:t xml:space="preserve">The complexity of </w:t>
      </w:r>
      <w:r w:rsidR="00C65007">
        <w:t>PDCCH monitoring load checking using the floating spans</w:t>
      </w:r>
      <w:r>
        <w:t xml:space="preserve"> on a single cell.</w:t>
      </w:r>
    </w:p>
    <w:p w14:paraId="13028433" w14:textId="187E4EAD" w:rsidR="00AB7932" w:rsidRDefault="00AB7932" w:rsidP="00791AD8">
      <w:pPr>
        <w:pStyle w:val="BodyText"/>
        <w:numPr>
          <w:ilvl w:val="0"/>
          <w:numId w:val="42"/>
        </w:numPr>
      </w:pPr>
      <w:r>
        <w:t>The complexity of PDCCH monitoring load checking using the floating spans across multiple cells.</w:t>
      </w:r>
    </w:p>
    <w:p w14:paraId="078EFDC5" w14:textId="149A02E2" w:rsidR="00A92710" w:rsidRDefault="00323472" w:rsidP="00E97B45">
      <w:pPr>
        <w:pStyle w:val="BodyText"/>
      </w:pPr>
      <w:r>
        <w:t>Details of i</w:t>
      </w:r>
      <w:r w:rsidR="00AB7932">
        <w:t>ssue #1 has been analyzed in Section 2.1.1</w:t>
      </w:r>
      <w:r>
        <w:t xml:space="preserve">. We further </w:t>
      </w:r>
      <w:r w:rsidR="00DE26AF">
        <w:t>discuss issues #2 and #3 below.</w:t>
      </w:r>
    </w:p>
    <w:p w14:paraId="003699B1" w14:textId="736D60DB" w:rsidR="00A92710" w:rsidRDefault="00A92710" w:rsidP="00E97B45">
      <w:pPr>
        <w:pStyle w:val="BodyText"/>
      </w:pPr>
    </w:p>
    <w:p w14:paraId="462999B5" w14:textId="6D389B64" w:rsidR="00DE26AF" w:rsidRPr="007247AD" w:rsidRDefault="007247AD" w:rsidP="00E97B45">
      <w:pPr>
        <w:pStyle w:val="BodyText"/>
        <w:rPr>
          <w:b/>
          <w:bCs/>
          <w:u w:val="single"/>
        </w:rPr>
      </w:pPr>
      <w:r w:rsidRPr="007247AD">
        <w:rPr>
          <w:b/>
          <w:bCs/>
          <w:u w:val="single"/>
        </w:rPr>
        <w:t>The complexity of PDCCH monitoring load checking using the floating spans on a single cell</w:t>
      </w:r>
    </w:p>
    <w:p w14:paraId="5DF4970A" w14:textId="77777777" w:rsidR="007D30FF" w:rsidRDefault="007D30FF" w:rsidP="007D30FF">
      <w:pPr>
        <w:pStyle w:val="BodyText"/>
      </w:pPr>
      <w: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0B5354C5" w14:textId="621D338D" w:rsidR="007D30FF" w:rsidRDefault="007D30FF" w:rsidP="007D30FF">
      <w:pPr>
        <w:pStyle w:val="BodyText"/>
      </w:pPr>
      <w:r>
        <w:t xml:space="preserve">For example, the PDCCH monitoring configuration for UE5 shown below in </w:t>
      </w:r>
      <w:r w:rsidR="002C361A">
        <w:fldChar w:fldCharType="begin"/>
      </w:r>
      <w:r w:rsidR="002C361A">
        <w:instrText xml:space="preserve"> REF _Ref83989174 \h </w:instrText>
      </w:r>
      <w:r w:rsidR="002C361A">
        <w:fldChar w:fldCharType="separate"/>
      </w:r>
      <w:r w:rsidR="00584934" w:rsidRPr="009B6F32">
        <w:t xml:space="preserve">Figure </w:t>
      </w:r>
      <w:r w:rsidR="00584934">
        <w:rPr>
          <w:noProof/>
        </w:rPr>
        <w:t>3</w:t>
      </w:r>
      <w:r w:rsidR="002C361A">
        <w:fldChar w:fldCharType="end"/>
      </w:r>
      <w:r w:rsidR="00BB5F40">
        <w:t xml:space="preserve"> </w:t>
      </w:r>
      <w:r>
        <w:t xml:space="preserve">seems to be forbidden under Alt 2 (X=56, Y=28) </w:t>
      </w:r>
      <w:r w:rsidR="00174258">
        <w:t xml:space="preserve">OS </w:t>
      </w:r>
      <w:r>
        <w:t>according to the delineation of monitoring occasion groups also shown in the figure.</w:t>
      </w:r>
    </w:p>
    <w:p w14:paraId="16E7BFE4" w14:textId="77777777" w:rsidR="007D30FF" w:rsidRDefault="007D30FF" w:rsidP="007D30FF">
      <w:pPr>
        <w:pStyle w:val="BodyText"/>
        <w:spacing w:before="120"/>
        <w:rPr>
          <w:noProof/>
        </w:rPr>
      </w:pPr>
      <w:r w:rsidRPr="008E3070">
        <w:rPr>
          <w:noProof/>
        </w:rPr>
        <w:drawing>
          <wp:inline distT="0" distB="0" distL="0" distR="0" wp14:anchorId="22E344DB" wp14:editId="03D54F5E">
            <wp:extent cx="6120765" cy="7188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53B95BC1" w14:textId="5F8A63E5" w:rsidR="007D30FF" w:rsidRPr="00AC3542" w:rsidRDefault="007D30FF" w:rsidP="007D30FF">
      <w:pPr>
        <w:pStyle w:val="TF"/>
        <w:jc w:val="both"/>
        <w:rPr>
          <w:lang w:val="en-US"/>
        </w:rPr>
      </w:pPr>
      <w:bookmarkStart w:id="34" w:name="_Ref83989174"/>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584934">
        <w:rPr>
          <w:noProof/>
          <w:lang w:val="en-US"/>
        </w:rPr>
        <w:t>3</w:t>
      </w:r>
      <w:r w:rsidRPr="009B6F32">
        <w:rPr>
          <w:lang w:val="en-US"/>
        </w:rPr>
        <w:fldChar w:fldCharType="end"/>
      </w:r>
      <w:bookmarkEnd w:id="34"/>
      <w:r w:rsidRPr="009B6F32">
        <w:rPr>
          <w:lang w:val="en-US"/>
        </w:rPr>
        <w:t xml:space="preserve">: </w:t>
      </w:r>
      <w:r>
        <w:rPr>
          <w:lang w:val="en-US"/>
        </w:rPr>
        <w:t>Is this type of m</w:t>
      </w:r>
      <w:r w:rsidRPr="009B6F32">
        <w:rPr>
          <w:lang w:val="en-US"/>
        </w:rPr>
        <w:t>ulti-slot PDCCH monitoring</w:t>
      </w:r>
      <w:r>
        <w:rPr>
          <w:lang w:val="en-US"/>
        </w:rPr>
        <w:t xml:space="preserve"> </w:t>
      </w:r>
      <w:r>
        <w:t xml:space="preserve">configuration </w:t>
      </w:r>
      <w:r>
        <w:rPr>
          <w:lang w:val="en-US"/>
        </w:rPr>
        <w:t>NOT supported according to Alt 2 for (X=56, Y=28) OS?</w:t>
      </w:r>
    </w:p>
    <w:p w14:paraId="0901D15C" w14:textId="639EA63B" w:rsidR="007D30FF" w:rsidRDefault="007D30FF" w:rsidP="007D30FF">
      <w:pPr>
        <w:pStyle w:val="BodyText"/>
      </w:pPr>
      <w:r>
        <w:t>However, the same PDCCH monitoring configuration becomes allowed under Alt 2 (X=56, Y=28)</w:t>
      </w:r>
      <w:r w:rsidR="00174258">
        <w:t xml:space="preserve"> OS</w:t>
      </w:r>
      <w:r>
        <w:t xml:space="preserve"> when viewed according to the alternative delineation of monitoring occasion groups shown in</w:t>
      </w:r>
      <w:r w:rsidR="002C361A">
        <w:t xml:space="preserve"> </w:t>
      </w:r>
      <w:r w:rsidR="002C361A">
        <w:fldChar w:fldCharType="begin"/>
      </w:r>
      <w:r w:rsidR="002C361A">
        <w:instrText xml:space="preserve"> REF _Ref83989186 \h </w:instrText>
      </w:r>
      <w:r w:rsidR="002C361A">
        <w:fldChar w:fldCharType="separate"/>
      </w:r>
      <w:r w:rsidR="00584934" w:rsidRPr="009B6F32">
        <w:t xml:space="preserve">Figure </w:t>
      </w:r>
      <w:r w:rsidR="00584934">
        <w:rPr>
          <w:noProof/>
        </w:rPr>
        <w:t>4</w:t>
      </w:r>
      <w:r w:rsidR="002C361A">
        <w:fldChar w:fldCharType="end"/>
      </w:r>
      <w:r>
        <w:t>.</w:t>
      </w:r>
    </w:p>
    <w:p w14:paraId="25C96C86" w14:textId="77777777" w:rsidR="007D30FF" w:rsidRDefault="007D30FF" w:rsidP="007D30FF">
      <w:pPr>
        <w:pStyle w:val="BodyText"/>
        <w:spacing w:before="120"/>
        <w:rPr>
          <w:noProof/>
        </w:rPr>
      </w:pPr>
      <w:r w:rsidRPr="000A5F04">
        <w:rPr>
          <w:noProof/>
        </w:rPr>
        <w:drawing>
          <wp:inline distT="0" distB="0" distL="0" distR="0" wp14:anchorId="29527967" wp14:editId="5C083D5B">
            <wp:extent cx="6120765" cy="7188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B5509B3" w14:textId="5E34ECAE" w:rsidR="007D30FF" w:rsidRPr="00AC3542" w:rsidRDefault="007D30FF" w:rsidP="007D30FF">
      <w:pPr>
        <w:pStyle w:val="TF"/>
        <w:jc w:val="both"/>
        <w:rPr>
          <w:lang w:val="en-US"/>
        </w:rPr>
      </w:pPr>
      <w:bookmarkStart w:id="35" w:name="_Ref83989186"/>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584934">
        <w:rPr>
          <w:noProof/>
          <w:lang w:val="en-US"/>
        </w:rPr>
        <w:t>4</w:t>
      </w:r>
      <w:r w:rsidRPr="009B6F32">
        <w:rPr>
          <w:lang w:val="en-US"/>
        </w:rPr>
        <w:fldChar w:fldCharType="end"/>
      </w:r>
      <w:bookmarkEnd w:id="35"/>
      <w:r w:rsidRPr="009B6F32">
        <w:rPr>
          <w:lang w:val="en-US"/>
        </w:rPr>
        <w:t xml:space="preserve">: </w:t>
      </w:r>
      <w:r>
        <w:rPr>
          <w:lang w:val="en-US"/>
        </w:rPr>
        <w:t>Is this type of m</w:t>
      </w:r>
      <w:r w:rsidRPr="009B6F32">
        <w:rPr>
          <w:lang w:val="en-US"/>
        </w:rPr>
        <w:t>ulti-slot PDCCH monitoring</w:t>
      </w:r>
      <w:r>
        <w:rPr>
          <w:lang w:val="en-US"/>
        </w:rPr>
        <w:t xml:space="preserve"> </w:t>
      </w:r>
      <w:r>
        <w:t xml:space="preserve">configuration </w:t>
      </w:r>
      <w:r>
        <w:rPr>
          <w:lang w:val="en-US"/>
        </w:rPr>
        <w:t>supported according to Alt 2 for (X=56, Y=28) OS?</w:t>
      </w:r>
    </w:p>
    <w:p w14:paraId="4861FAA2" w14:textId="77777777" w:rsidR="007D30FF" w:rsidRDefault="007D30FF" w:rsidP="007D30FF">
      <w:pPr>
        <w:pStyle w:val="BodyText"/>
      </w:pPr>
      <w:r>
        <w:t xml:space="preserve">In summary, whether a particular PDCCH monitoring configuration is allowed under Alt 2 requires PDCCH processing load checking according to several different delineations of monitoring occasion groups. The questions are then </w:t>
      </w:r>
    </w:p>
    <w:p w14:paraId="71D8F430" w14:textId="77777777" w:rsidR="007D30FF" w:rsidRDefault="007D30FF" w:rsidP="007D30FF">
      <w:pPr>
        <w:pStyle w:val="BodyText"/>
        <w:numPr>
          <w:ilvl w:val="0"/>
          <w:numId w:val="17"/>
        </w:numPr>
      </w:pPr>
      <w:r>
        <w:t>What is the complexity of searching through all these possible delineations?</w:t>
      </w:r>
    </w:p>
    <w:p w14:paraId="2B1CBF63" w14:textId="190E6E15" w:rsidR="007D30FF" w:rsidRDefault="007D30FF" w:rsidP="007D30FF">
      <w:pPr>
        <w:pStyle w:val="BodyText"/>
        <w:numPr>
          <w:ilvl w:val="0"/>
          <w:numId w:val="17"/>
        </w:numPr>
      </w:pPr>
      <w:r>
        <w:t xml:space="preserve">How different is this searching through all possible delineations of monitoring occasion groups than the sliding windows </w:t>
      </w:r>
      <w:r w:rsidR="00792570">
        <w:t xml:space="preserve">originally proposed in </w:t>
      </w:r>
      <w:r>
        <w:t>Alt 3?</w:t>
      </w:r>
    </w:p>
    <w:p w14:paraId="08E70CD0" w14:textId="77777777" w:rsidR="007D30FF" w:rsidRDefault="007D30FF" w:rsidP="007D30FF">
      <w:pPr>
        <w:pStyle w:val="BodyText"/>
      </w:pPr>
      <w:r>
        <w:t>The monitoring occasion group delineation question is important to clarify because it affects the range of possible PDCCH monitoring configurations. The principle of determining why a certain configuration is or is not allowed should also be clarified in RAN1.</w:t>
      </w:r>
    </w:p>
    <w:p w14:paraId="69AE113E" w14:textId="1495D342" w:rsidR="00A92710" w:rsidRDefault="00A92710" w:rsidP="00E97B45">
      <w:pPr>
        <w:pStyle w:val="BodyText"/>
      </w:pPr>
    </w:p>
    <w:p w14:paraId="5DD19827" w14:textId="538A13D6" w:rsidR="007D30FF" w:rsidRDefault="00E673DC" w:rsidP="007D30FF">
      <w:pPr>
        <w:pStyle w:val="Observation"/>
      </w:pPr>
      <w:bookmarkStart w:id="36" w:name="_Toc83990424"/>
      <w:r>
        <w:t xml:space="preserve">For </w:t>
      </w:r>
      <w:r w:rsidRPr="00381664">
        <w:t xml:space="preserve">PDCCH monitoring load checking using the floating spans </w:t>
      </w:r>
      <w:r>
        <w:t>under Alt 2, t</w:t>
      </w:r>
      <w:r w:rsidR="007D30FF">
        <w:t xml:space="preserve">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w:t>
      </w:r>
      <w:r w:rsidR="007D30FF">
        <w:lastRenderedPageBreak/>
        <w:t xml:space="preserve">occasion groups under Alt 2 which brings about complexity and similarity to </w:t>
      </w:r>
      <w:r w:rsidR="00792570">
        <w:t xml:space="preserve">the originally proposed </w:t>
      </w:r>
      <w:r w:rsidR="007D30FF">
        <w:t>Alt 3</w:t>
      </w:r>
      <w:r w:rsidR="00792570">
        <w:t xml:space="preserve"> based on a sliding window</w:t>
      </w:r>
      <w:r w:rsidR="007D30FF">
        <w:t>. The multiple possible delineations also raise issues on how exactly to handle PDCCH overbooking/dropping under Alt 2.</w:t>
      </w:r>
      <w:bookmarkEnd w:id="36"/>
    </w:p>
    <w:p w14:paraId="52D64785" w14:textId="3257FB8F" w:rsidR="007247AD" w:rsidRDefault="007247AD" w:rsidP="00E97B45">
      <w:pPr>
        <w:pStyle w:val="BodyText"/>
      </w:pPr>
    </w:p>
    <w:p w14:paraId="745A72E4" w14:textId="5C10BF03" w:rsidR="00347FBC" w:rsidRPr="00894A95" w:rsidRDefault="0082076A" w:rsidP="00894A95">
      <w:pPr>
        <w:jc w:val="both"/>
        <w:rPr>
          <w:lang w:val="en-GB" w:eastAsia="ja-JP"/>
        </w:rPr>
      </w:pPr>
      <w:r w:rsidRPr="00894A95">
        <w:rPr>
          <w:lang w:val="en-GB" w:eastAsia="ja-JP"/>
        </w:rPr>
        <w:t xml:space="preserve">Another way to </w:t>
      </w:r>
      <w:proofErr w:type="spellStart"/>
      <w:r w:rsidRPr="00894A95">
        <w:rPr>
          <w:lang w:val="en-GB" w:eastAsia="ja-JP"/>
        </w:rPr>
        <w:t>analyze</w:t>
      </w:r>
      <w:proofErr w:type="spellEnd"/>
      <w:r w:rsidRPr="00894A95">
        <w:rPr>
          <w:lang w:val="en-GB" w:eastAsia="ja-JP"/>
        </w:rPr>
        <w:t xml:space="preserve"> the above raised checking issue is </w:t>
      </w:r>
      <w:r w:rsidR="009E3E71" w:rsidRPr="00894A95">
        <w:rPr>
          <w:lang w:val="en-GB" w:eastAsia="ja-JP"/>
        </w:rPr>
        <w:t xml:space="preserve">the slot bitmap </w:t>
      </w:r>
      <w:r w:rsidR="006A366B" w:rsidRPr="00894A95">
        <w:rPr>
          <w:lang w:val="en-GB" w:eastAsia="ja-JP"/>
        </w:rPr>
        <w:t xml:space="preserve">needed for PDCCH monitoring load checking. This issue has so far </w:t>
      </w:r>
      <w:r w:rsidR="00AB0B8E" w:rsidRPr="00894A95">
        <w:rPr>
          <w:lang w:val="en-GB" w:eastAsia="ja-JP"/>
        </w:rPr>
        <w:t xml:space="preserve">not </w:t>
      </w:r>
      <w:proofErr w:type="gramStart"/>
      <w:r w:rsidR="00AB0B8E" w:rsidRPr="00894A95">
        <w:rPr>
          <w:lang w:val="en-GB" w:eastAsia="ja-JP"/>
        </w:rPr>
        <w:t>be</w:t>
      </w:r>
      <w:proofErr w:type="gramEnd"/>
      <w:r w:rsidR="00AB0B8E" w:rsidRPr="00894A95">
        <w:rPr>
          <w:lang w:val="en-GB" w:eastAsia="ja-JP"/>
        </w:rPr>
        <w:t xml:space="preserve"> discussed/clarified to any sufficient degree in RAN1. Similar to the symbol bitmap to determine whether the Rel-15 (</w:t>
      </w:r>
      <w:proofErr w:type="gramStart"/>
      <w:r w:rsidR="00AB0B8E" w:rsidRPr="00894A95">
        <w:rPr>
          <w:lang w:val="en-GB" w:eastAsia="ja-JP"/>
        </w:rPr>
        <w:t>X,Y</w:t>
      </w:r>
      <w:proofErr w:type="gramEnd"/>
      <w:r w:rsidR="00AB0B8E" w:rsidRPr="00894A95">
        <w:rPr>
          <w:lang w:val="en-GB" w:eastAsia="ja-JP"/>
        </w:rPr>
        <w:t>) spans are satisfied, a slot bitmap of length M will need to be computed to support Alt 2 in general (see, e.g.,</w:t>
      </w:r>
      <w:r w:rsidR="0061563F" w:rsidRPr="00894A95">
        <w:rPr>
          <w:lang w:val="en-GB" w:eastAsia="ja-JP"/>
        </w:rPr>
        <w:t xml:space="preserve"> </w:t>
      </w:r>
      <w:r w:rsidR="0061563F" w:rsidRPr="00894A95">
        <w:rPr>
          <w:lang w:val="en-GB" w:eastAsia="ja-JP"/>
        </w:rPr>
        <w:fldChar w:fldCharType="begin"/>
      </w:r>
      <w:r w:rsidR="0061563F" w:rsidRPr="00894A95">
        <w:rPr>
          <w:lang w:val="en-GB" w:eastAsia="ja-JP"/>
        </w:rPr>
        <w:instrText xml:space="preserve"> REF _Ref83891875 \r \h </w:instrText>
      </w:r>
      <w:r w:rsidR="00894A95">
        <w:rPr>
          <w:lang w:val="en-GB" w:eastAsia="ja-JP"/>
        </w:rPr>
        <w:instrText xml:space="preserve"> \* MERGEFORMAT </w:instrText>
      </w:r>
      <w:r w:rsidR="0061563F" w:rsidRPr="00894A95">
        <w:rPr>
          <w:lang w:val="en-GB" w:eastAsia="ja-JP"/>
        </w:rPr>
      </w:r>
      <w:r w:rsidR="0061563F" w:rsidRPr="00894A95">
        <w:rPr>
          <w:lang w:val="en-GB" w:eastAsia="ja-JP"/>
        </w:rPr>
        <w:fldChar w:fldCharType="separate"/>
      </w:r>
      <w:r w:rsidR="00584934">
        <w:rPr>
          <w:lang w:val="en-GB" w:eastAsia="ja-JP"/>
        </w:rPr>
        <w:t>[6]</w:t>
      </w:r>
      <w:r w:rsidR="0061563F" w:rsidRPr="00894A95">
        <w:rPr>
          <w:lang w:val="en-GB" w:eastAsia="ja-JP"/>
        </w:rPr>
        <w:fldChar w:fldCharType="end"/>
      </w:r>
      <w:r w:rsidR="00AB0B8E" w:rsidRPr="00894A95">
        <w:rPr>
          <w:lang w:val="en-GB" w:eastAsia="ja-JP"/>
        </w:rPr>
        <w:t xml:space="preserve">).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be should be discussed/clarified. For example, should M be set to two radio frames to handle all possible configuration possibilities (i.e., M=640 slots for 480 kHz SCS and M=1280 slots for 960 kHz SCS)? Note that this bitmap is </w:t>
      </w:r>
      <w:r w:rsidR="003B2924" w:rsidRPr="00894A95">
        <w:rPr>
          <w:lang w:val="en-GB" w:eastAsia="ja-JP"/>
        </w:rPr>
        <w:t xml:space="preserve">also </w:t>
      </w:r>
      <w:r w:rsidR="00AB0B8E" w:rsidRPr="00894A95">
        <w:rPr>
          <w:lang w:val="en-GB" w:eastAsia="ja-JP"/>
        </w:rPr>
        <w:t xml:space="preserve">used to determine </w:t>
      </w:r>
      <w:proofErr w:type="gramStart"/>
      <w:r w:rsidR="00AB0B8E" w:rsidRPr="00894A95">
        <w:rPr>
          <w:lang w:val="en-GB" w:eastAsia="ja-JP"/>
        </w:rPr>
        <w:t>how</w:t>
      </w:r>
      <w:proofErr w:type="gramEnd"/>
      <w:r w:rsidR="00AB0B8E" w:rsidRPr="00894A95">
        <w:rPr>
          <w:lang w:val="en-GB" w:eastAsia="ja-JP"/>
        </w:rPr>
        <w:t xml:space="preserve"> and which SS should be dropped</w:t>
      </w:r>
      <w:r w:rsidR="003B2924" w:rsidRPr="00894A95">
        <w:rPr>
          <w:lang w:val="en-GB" w:eastAsia="ja-JP"/>
        </w:rPr>
        <w:t>.</w:t>
      </w:r>
    </w:p>
    <w:p w14:paraId="26F77150" w14:textId="16ECEE1A" w:rsidR="00347FBC" w:rsidRPr="00894A95" w:rsidRDefault="00894A95" w:rsidP="00894A95">
      <w:pPr>
        <w:jc w:val="both"/>
        <w:rPr>
          <w:lang w:val="en-GB" w:eastAsia="ja-JP"/>
        </w:rPr>
      </w:pPr>
      <w:r>
        <w:rPr>
          <w:lang w:val="en-GB" w:eastAsia="ja-JP"/>
        </w:rPr>
        <w:t xml:space="preserve">In contrast, </w:t>
      </w:r>
      <w:r w:rsidR="002628E2" w:rsidRPr="00894A95">
        <w:rPr>
          <w:lang w:val="en-GB" w:eastAsia="ja-JP"/>
        </w:rPr>
        <w:t xml:space="preserve">Alt 1 with fixed Y locations leads independent X-slot groups. The PDCCH monitoring load of one X-slot group has no impact on the preceding or subsequent X-slot groups. In other words, for Alt 1 with fixed Y locations, the monitoring checking bitmap length M </w:t>
      </w:r>
      <w:r w:rsidR="00C77BC7">
        <w:rPr>
          <w:lang w:val="en-GB" w:eastAsia="ja-JP"/>
        </w:rPr>
        <w:t xml:space="preserve">is exactly </w:t>
      </w:r>
      <w:r w:rsidR="002628E2" w:rsidRPr="00894A95">
        <w:rPr>
          <w:lang w:val="en-GB" w:eastAsia="ja-JP"/>
        </w:rPr>
        <w:t>X slots</w:t>
      </w:r>
      <w:r w:rsidR="00C77BC7">
        <w:rPr>
          <w:lang w:val="en-GB" w:eastAsia="ja-JP"/>
        </w:rPr>
        <w:t>.</w:t>
      </w:r>
    </w:p>
    <w:p w14:paraId="198E2200" w14:textId="53475F81" w:rsidR="002628E2" w:rsidRDefault="002628E2" w:rsidP="00894A95">
      <w:pPr>
        <w:jc w:val="both"/>
        <w:rPr>
          <w:lang w:val="en-GB" w:eastAsia="ja-JP"/>
        </w:rPr>
      </w:pPr>
    </w:p>
    <w:p w14:paraId="31747C97" w14:textId="41548F96" w:rsidR="00381664" w:rsidRDefault="00381664" w:rsidP="00381664">
      <w:pPr>
        <w:pStyle w:val="Observation"/>
      </w:pPr>
      <w:bookmarkStart w:id="37" w:name="_Toc83990425"/>
      <w:r>
        <w:t xml:space="preserve">For </w:t>
      </w:r>
      <w:r w:rsidRPr="00381664">
        <w:t xml:space="preserve">PDCCH monitoring load checking using the floating spans </w:t>
      </w:r>
      <w:r w:rsidR="00A976EA">
        <w:t>under Alt 2, a large slot bitmap needs to be computed</w:t>
      </w:r>
      <w:r w:rsidR="00333BC4">
        <w:t>, particularly when the SS periodicity configuration is full</w:t>
      </w:r>
      <w:r w:rsidR="00B424AA">
        <w:t>y</w:t>
      </w:r>
      <w:r w:rsidR="00333BC4">
        <w:t xml:space="preserve"> flexi</w:t>
      </w:r>
      <w:r w:rsidR="00406644">
        <w:t>ble (e.g.,</w:t>
      </w:r>
      <w:r w:rsidR="00B53E2D">
        <w:t xml:space="preserve"> </w:t>
      </w:r>
      <w:r w:rsidR="00924A60">
        <w:t>co</w:t>
      </w:r>
      <w:r w:rsidR="00B53E2D">
        <w:t xml:space="preserve">prime </w:t>
      </w:r>
      <w:r w:rsidR="00924A60">
        <w:t xml:space="preserve">with </w:t>
      </w:r>
      <w:r w:rsidR="00406644">
        <w:t>the span size X)</w:t>
      </w:r>
      <w:r>
        <w:t>.</w:t>
      </w:r>
      <w:bookmarkEnd w:id="37"/>
    </w:p>
    <w:p w14:paraId="1B032AD2" w14:textId="77777777" w:rsidR="00830484" w:rsidRDefault="00830484" w:rsidP="00E97B45">
      <w:pPr>
        <w:pStyle w:val="BodyText"/>
      </w:pPr>
    </w:p>
    <w:p w14:paraId="48C048B4" w14:textId="3B3FAB27" w:rsidR="007247AD" w:rsidRPr="007247AD" w:rsidRDefault="007247AD" w:rsidP="00E97B45">
      <w:pPr>
        <w:pStyle w:val="BodyText"/>
        <w:rPr>
          <w:b/>
          <w:bCs/>
          <w:u w:val="single"/>
        </w:rPr>
      </w:pPr>
      <w:r w:rsidRPr="007247AD">
        <w:rPr>
          <w:b/>
          <w:bCs/>
          <w:u w:val="single"/>
        </w:rPr>
        <w:t>The complexity of PDCCH monitoring load checking using the floating spans across multiple cells</w:t>
      </w:r>
    </w:p>
    <w:p w14:paraId="18D5B630" w14:textId="10CEFF9E" w:rsidR="00F62586" w:rsidRDefault="00ED6412" w:rsidP="00E97B45">
      <w:pPr>
        <w:pStyle w:val="BodyText"/>
      </w:pPr>
      <w:r>
        <w:t xml:space="preserve">The floating span </w:t>
      </w:r>
      <w:r w:rsidR="00BA2D6D">
        <w:t xml:space="preserve">flexibility may </w:t>
      </w:r>
      <w:r w:rsidR="005F284C">
        <w:t xml:space="preserve">also </w:t>
      </w:r>
      <w:r w:rsidR="00BA2D6D">
        <w:t xml:space="preserve">cause </w:t>
      </w:r>
      <w:r w:rsidR="0059527B">
        <w:t>additional PDCCH monitoring capability misalignment/overburden issues when multiple serving cells are active</w:t>
      </w:r>
      <w:r w:rsidR="00D003B8">
        <w:t xml:space="preserve"> </w:t>
      </w:r>
      <w:r w:rsidR="00D003B8">
        <w:fldChar w:fldCharType="begin"/>
      </w:r>
      <w:r w:rsidR="00D003B8">
        <w:instrText xml:space="preserve"> REF _Ref76731527 \r \h </w:instrText>
      </w:r>
      <w:r w:rsidR="00D003B8">
        <w:fldChar w:fldCharType="separate"/>
      </w:r>
      <w:r w:rsidR="00584934">
        <w:t>[3]</w:t>
      </w:r>
      <w:r w:rsidR="00D003B8">
        <w:fldChar w:fldCharType="end"/>
      </w:r>
      <w:r w:rsidR="0059527B">
        <w:t xml:space="preserve">. </w:t>
      </w:r>
      <w:r w:rsidR="002149FC">
        <w:t xml:space="preserve">That is, </w:t>
      </w:r>
      <w:r w:rsidR="002149FC" w:rsidRPr="002149FC">
        <w:t>it is possible that the spans in the same cell follow the (</w:t>
      </w:r>
      <w:proofErr w:type="gramStart"/>
      <w:r w:rsidR="002149FC" w:rsidRPr="002149FC">
        <w:t>X,Y</w:t>
      </w:r>
      <w:proofErr w:type="gramEnd"/>
      <w:r w:rsidR="002149FC" w:rsidRPr="002149FC">
        <w:t>) constraint but the spans from different cells might be close to each other and violate the (X,Y) constraint in time domain</w:t>
      </w:r>
      <w:r w:rsidR="00FA6062">
        <w:t>.</w:t>
      </w:r>
      <w:r w:rsidR="002455A2">
        <w:t xml:space="preserve"> </w:t>
      </w:r>
    </w:p>
    <w:p w14:paraId="0A253CBC" w14:textId="519A4397" w:rsidR="00F62586" w:rsidRPr="00F62586" w:rsidRDefault="00F62586" w:rsidP="00F62586">
      <w:pPr>
        <w:pStyle w:val="BodyText"/>
        <w:jc w:val="center"/>
      </w:pPr>
      <w:r w:rsidRPr="00F62586">
        <w:rPr>
          <w:noProof/>
        </w:rPr>
        <w:drawing>
          <wp:inline distT="0" distB="0" distL="0" distR="0" wp14:anchorId="1BD71144" wp14:editId="24BE208B">
            <wp:extent cx="4108069" cy="2082965"/>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p>
    <w:p w14:paraId="67BA2CDF" w14:textId="5FCE1CB3" w:rsidR="00F62586" w:rsidRPr="009B6F32" w:rsidRDefault="00F62586" w:rsidP="00F62586">
      <w:pPr>
        <w:pStyle w:val="TF"/>
        <w:rPr>
          <w:lang w:val="en-US"/>
        </w:rPr>
      </w:pPr>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584934">
        <w:rPr>
          <w:noProof/>
          <w:lang w:val="en-US"/>
        </w:rPr>
        <w:t>5</w:t>
      </w:r>
      <w:r w:rsidRPr="009B6F32">
        <w:rPr>
          <w:lang w:val="en-US"/>
        </w:rPr>
        <w:fldChar w:fldCharType="end"/>
      </w:r>
      <w:r w:rsidRPr="009B6F32">
        <w:rPr>
          <w:lang w:val="en-US"/>
        </w:rPr>
        <w:t xml:space="preserve">: </w:t>
      </w:r>
      <w:r w:rsidR="0017051C" w:rsidRPr="0017051C">
        <w:rPr>
          <w:lang w:val="en-US"/>
        </w:rPr>
        <w:t>Example of non-aligned spans across CCs in Alt</w:t>
      </w:r>
      <w:r w:rsidR="00E64853">
        <w:rPr>
          <w:lang w:val="en-US"/>
        </w:rPr>
        <w:t xml:space="preserve"> </w:t>
      </w:r>
      <w:r w:rsidR="0017051C" w:rsidRPr="0017051C">
        <w:rPr>
          <w:lang w:val="en-US"/>
        </w:rPr>
        <w:t>2</w:t>
      </w:r>
      <w:r w:rsidR="0017051C">
        <w:rPr>
          <w:lang w:val="en-US"/>
        </w:rPr>
        <w:t xml:space="preserve"> </w:t>
      </w:r>
      <w:r w:rsidR="0017051C">
        <w:rPr>
          <w:lang w:val="en-US"/>
        </w:rPr>
        <w:fldChar w:fldCharType="begin"/>
      </w:r>
      <w:r w:rsidR="0017051C">
        <w:rPr>
          <w:lang w:val="en-US"/>
        </w:rPr>
        <w:instrText xml:space="preserve"> REF _Ref76731527 \r \h </w:instrText>
      </w:r>
      <w:r w:rsidR="0017051C">
        <w:rPr>
          <w:lang w:val="en-US"/>
        </w:rPr>
      </w:r>
      <w:r w:rsidR="0017051C">
        <w:rPr>
          <w:lang w:val="en-US"/>
        </w:rPr>
        <w:fldChar w:fldCharType="separate"/>
      </w:r>
      <w:r w:rsidR="00584934">
        <w:rPr>
          <w:lang w:val="en-US"/>
        </w:rPr>
        <w:t>[3]</w:t>
      </w:r>
      <w:r w:rsidR="0017051C">
        <w:rPr>
          <w:lang w:val="en-US"/>
        </w:rPr>
        <w:fldChar w:fldCharType="end"/>
      </w:r>
      <w:r w:rsidRPr="00697E8F">
        <w:t>.</w:t>
      </w:r>
    </w:p>
    <w:p w14:paraId="71C7BD81" w14:textId="273764F0" w:rsidR="00E97B45" w:rsidRDefault="002455A2" w:rsidP="00E97B45">
      <w:pPr>
        <w:pStyle w:val="BodyText"/>
      </w:pPr>
      <w:r>
        <w:t xml:space="preserve">On the other hand, </w:t>
      </w:r>
      <w:r w:rsidR="00232B96">
        <w:t xml:space="preserve">Alt 1 </w:t>
      </w:r>
      <w:r w:rsidR="00666CB4">
        <w:t xml:space="preserve">duration X is </w:t>
      </w:r>
      <w:r w:rsidR="001444E4">
        <w:t>fixed and aligned with the radio frames</w:t>
      </w:r>
      <w:r w:rsidR="00F040EE">
        <w:t xml:space="preserve"> as discussed in </w:t>
      </w:r>
      <w:r w:rsidR="00F040EE">
        <w:fldChar w:fldCharType="begin"/>
      </w:r>
      <w:r w:rsidR="00F040EE">
        <w:instrText xml:space="preserve"> REF _Ref77592662 \r \h </w:instrText>
      </w:r>
      <w:r w:rsidR="00F040EE">
        <w:fldChar w:fldCharType="separate"/>
      </w:r>
      <w:r w:rsidR="00584934">
        <w:t>Proposal 8</w:t>
      </w:r>
      <w:r w:rsidR="00F040EE">
        <w:fldChar w:fldCharType="end"/>
      </w:r>
      <w:r w:rsidR="00792570">
        <w:t xml:space="preserve"> for all CCs.</w:t>
      </w:r>
    </w:p>
    <w:p w14:paraId="16171C7A" w14:textId="6C5603C3" w:rsidR="008F3301" w:rsidRDefault="00E64853" w:rsidP="00E64853">
      <w:pPr>
        <w:pStyle w:val="BodyText"/>
        <w:jc w:val="center"/>
      </w:pPr>
      <w:r w:rsidRPr="00E64853">
        <w:rPr>
          <w:noProof/>
        </w:rPr>
        <w:lastRenderedPageBreak/>
        <w:drawing>
          <wp:inline distT="0" distB="0" distL="0" distR="0" wp14:anchorId="42CA4D1E" wp14:editId="65FD40F4">
            <wp:extent cx="3943693" cy="202140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8005" cy="2028740"/>
                    </a:xfrm>
                    <a:prstGeom prst="rect">
                      <a:avLst/>
                    </a:prstGeom>
                    <a:noFill/>
                    <a:ln>
                      <a:noFill/>
                    </a:ln>
                  </pic:spPr>
                </pic:pic>
              </a:graphicData>
            </a:graphic>
          </wp:inline>
        </w:drawing>
      </w:r>
    </w:p>
    <w:p w14:paraId="47B42197" w14:textId="00D4342A" w:rsidR="00E64853" w:rsidRPr="009B6F32" w:rsidRDefault="00E64853" w:rsidP="00E64853">
      <w:pPr>
        <w:pStyle w:val="TF"/>
        <w:rPr>
          <w:lang w:val="en-US"/>
        </w:rPr>
      </w:pPr>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584934">
        <w:rPr>
          <w:noProof/>
          <w:lang w:val="en-US"/>
        </w:rPr>
        <w:t>6</w:t>
      </w:r>
      <w:r w:rsidRPr="009B6F32">
        <w:rPr>
          <w:lang w:val="en-US"/>
        </w:rPr>
        <w:fldChar w:fldCharType="end"/>
      </w:r>
      <w:r w:rsidRPr="009B6F32">
        <w:rPr>
          <w:lang w:val="en-US"/>
        </w:rPr>
        <w:t xml:space="preserve">: </w:t>
      </w:r>
      <w:r w:rsidRPr="0017051C">
        <w:rPr>
          <w:lang w:val="en-US"/>
        </w:rPr>
        <w:t>Example of aligned spans across CCs in Alt</w:t>
      </w:r>
      <w:r>
        <w:rPr>
          <w:lang w:val="en-US"/>
        </w:rPr>
        <w:t xml:space="preserve"> 1 </w:t>
      </w:r>
      <w:r>
        <w:rPr>
          <w:lang w:val="en-US"/>
        </w:rPr>
        <w:fldChar w:fldCharType="begin"/>
      </w:r>
      <w:r>
        <w:rPr>
          <w:lang w:val="en-US"/>
        </w:rPr>
        <w:instrText xml:space="preserve"> REF _Ref76731527 \r \h </w:instrText>
      </w:r>
      <w:r>
        <w:rPr>
          <w:lang w:val="en-US"/>
        </w:rPr>
      </w:r>
      <w:r>
        <w:rPr>
          <w:lang w:val="en-US"/>
        </w:rPr>
        <w:fldChar w:fldCharType="separate"/>
      </w:r>
      <w:r w:rsidR="00584934">
        <w:rPr>
          <w:lang w:val="en-US"/>
        </w:rPr>
        <w:t>[3]</w:t>
      </w:r>
      <w:r>
        <w:rPr>
          <w:lang w:val="en-US"/>
        </w:rPr>
        <w:fldChar w:fldCharType="end"/>
      </w:r>
      <w:r w:rsidRPr="00697E8F">
        <w:t>.</w:t>
      </w:r>
    </w:p>
    <w:p w14:paraId="38DD907E" w14:textId="77777777" w:rsidR="000600F4" w:rsidRDefault="000600F4" w:rsidP="000600F4">
      <w:pPr>
        <w:pStyle w:val="BodyText"/>
      </w:pPr>
    </w:p>
    <w:p w14:paraId="32695B0B" w14:textId="118EDFF5" w:rsidR="004B3BED" w:rsidRDefault="0056488C" w:rsidP="00E111F9">
      <w:pPr>
        <w:pStyle w:val="Observation"/>
      </w:pPr>
      <w:bookmarkStart w:id="38" w:name="_Toc83990426"/>
      <w:r>
        <w:t>Compared to Alt 1, t</w:t>
      </w:r>
      <w:r w:rsidR="004B3BED">
        <w:t xml:space="preserve">he float monitoring capability spans of Alt 2 introduce additional </w:t>
      </w:r>
      <w:r w:rsidR="001757F7">
        <w:t xml:space="preserve">monitoring capability </w:t>
      </w:r>
      <w:r w:rsidR="00B25C8A">
        <w:t>misalignment/overburden issues when multiple serving cells are active.</w:t>
      </w:r>
      <w:r>
        <w:t xml:space="preserve"> </w:t>
      </w:r>
      <w:r w:rsidR="000B175A">
        <w:t>As a result, additional PDCCH processing load restriction/checking will need to be defined for Alt 2 to handles these cases.</w:t>
      </w:r>
      <w:bookmarkEnd w:id="38"/>
    </w:p>
    <w:p w14:paraId="51881040" w14:textId="3E73CDF2" w:rsidR="002D0436" w:rsidRDefault="002D0436" w:rsidP="00791B18">
      <w:pPr>
        <w:jc w:val="both"/>
      </w:pPr>
    </w:p>
    <w:p w14:paraId="3964E455" w14:textId="7DDCA9CA" w:rsidR="00B37F9E" w:rsidRDefault="007F0687" w:rsidP="00A27B63">
      <w:pPr>
        <w:pStyle w:val="Heading2"/>
      </w:pPr>
      <w:bookmarkStart w:id="39" w:name="_Toc67653044"/>
      <w:r>
        <w:t>2.</w:t>
      </w:r>
      <w:r w:rsidR="006145CD">
        <w:t>4</w:t>
      </w:r>
      <w:r w:rsidRPr="00C81EDA">
        <w:tab/>
      </w:r>
      <w:r w:rsidR="00B37F9E">
        <w:t xml:space="preserve">Capability scaling for </w:t>
      </w:r>
      <w:r w:rsidR="00C82D30">
        <w:t xml:space="preserve">per-slot and </w:t>
      </w:r>
      <w:r w:rsidR="00B37F9E">
        <w:t>multi-slot PDCCH monitoring</w:t>
      </w:r>
      <w:bookmarkEnd w:id="39"/>
      <w:r w:rsidR="000E388D">
        <w:t xml:space="preserve"> for MBB applications</w:t>
      </w:r>
    </w:p>
    <w:p w14:paraId="19CFD7A3" w14:textId="60DD35B3" w:rsidR="008B04EA" w:rsidRDefault="008B04EA" w:rsidP="00591A94">
      <w:pPr>
        <w:pStyle w:val="BodyText"/>
      </w:pPr>
      <w:r>
        <w:t>In this section, we first provide estimate of UE per-slot PDCCH processing capabilities for 480 and 960 kHz SCS</w:t>
      </w:r>
      <w:r w:rsidR="00584934" w:rsidRPr="00584934">
        <w:t xml:space="preserve"> </w:t>
      </w:r>
      <w:r w:rsidR="00584934">
        <w:t>for MBB applications</w:t>
      </w:r>
      <w:r>
        <w:t xml:space="preserve">. We then discuss the PDCCH processing capabilities for multiple </w:t>
      </w:r>
      <w:r w:rsidR="00D628DA">
        <w:t>slots.</w:t>
      </w:r>
      <w:r w:rsidR="00AA628A">
        <w:t xml:space="preserve"> The discussion is applicable to </w:t>
      </w:r>
      <w:r w:rsidR="00584934">
        <w:t xml:space="preserve">both </w:t>
      </w:r>
      <w:r w:rsidR="00AA628A">
        <w:t>alternatives for defining UE multi-slot PDCCH processing capabilities discussed in Section 2.</w:t>
      </w:r>
      <w:r w:rsidR="007730B4">
        <w:t>3</w:t>
      </w:r>
      <w:r w:rsidR="00AA628A">
        <w:t>.</w:t>
      </w:r>
    </w:p>
    <w:p w14:paraId="24B4F0DE" w14:textId="433191FD" w:rsidR="00E9206F" w:rsidRDefault="00E9206F" w:rsidP="00E9206F">
      <w:pPr>
        <w:pStyle w:val="Heading3"/>
      </w:pPr>
      <w:bookmarkStart w:id="40" w:name="_Toc67653045"/>
      <w:r>
        <w:t>2.</w:t>
      </w:r>
      <w:r w:rsidR="006145CD">
        <w:t>4</w:t>
      </w:r>
      <w:r>
        <w:t>.1</w:t>
      </w:r>
      <w:r>
        <w:tab/>
        <w:t>Per-slot PDCCH processing capabilities for 480/960 kHz SCS</w:t>
      </w:r>
      <w:bookmarkEnd w:id="40"/>
      <w:r w:rsidR="00AB5B0E" w:rsidRPr="00AB5B0E">
        <w:t xml:space="preserve"> </w:t>
      </w:r>
      <w:r w:rsidR="00AB5B0E">
        <w:t>MBB applications</w:t>
      </w:r>
    </w:p>
    <w:p w14:paraId="4C8944AC" w14:textId="77777777" w:rsidR="00E9206F" w:rsidRDefault="00E9206F" w:rsidP="00E9206F">
      <w:pPr>
        <w:pStyle w:val="BodyText"/>
      </w:pPr>
      <w:r w:rsidRPr="008247F0">
        <w:t>With short OFDM symbol durations associated with large SCSs, the amount of time for UE and gNB to perform several critical operations can become quite challenging.</w:t>
      </w:r>
      <w:r>
        <w:t xml:space="preserve"> Consider the UE PDCCH processing capabilities specified in Section 10.1 of </w:t>
      </w:r>
      <w:r w:rsidRPr="005B435E">
        <w:t>TS 38.213</w:t>
      </w:r>
      <w:r>
        <w:t xml:space="preserve"> in terms of number of </w:t>
      </w:r>
      <w:proofErr w:type="gramStart"/>
      <w:r>
        <w:t>blind</w:t>
      </w:r>
      <w:proofErr w:type="gramEnd"/>
      <w:r>
        <w:t xml:space="preserve"> decodes in Table 10.1-2 and number of CCEs in Table 10.1-3. For both sets of PDCCH processing capabilities, the quantities </w:t>
      </w:r>
      <w:r w:rsidRPr="00085F74">
        <w:rPr>
          <w:u w:val="single"/>
        </w:rPr>
        <w:t xml:space="preserve">shrink </w:t>
      </w:r>
      <w:r w:rsidRPr="00FC21A3">
        <w:rPr>
          <w:u w:val="single"/>
        </w:rPr>
        <w:t>exponentially</w:t>
      </w:r>
      <w:r>
        <w:t xml:space="preserve"> with SCS (value of </w:t>
      </w:r>
      <w:r>
        <w:rPr>
          <w:rFonts w:cs="Arial"/>
        </w:rPr>
        <w:t>µ</w:t>
      </w:r>
      <w:r>
        <w:t xml:space="preserve">). </w:t>
      </w:r>
    </w:p>
    <w:p w14:paraId="491C5406" w14:textId="77777777" w:rsidR="00E9206F" w:rsidRPr="00B916EC" w:rsidRDefault="00E9206F" w:rsidP="00E9206F">
      <w:pPr>
        <w:pStyle w:val="TH"/>
        <w:jc w:val="both"/>
      </w:pPr>
      <w:r>
        <w:t>Table 10.1-2</w:t>
      </w:r>
      <w:r w:rsidRPr="00B916EC">
        <w:t xml:space="preserve">: </w:t>
      </w:r>
      <w:r>
        <w:t xml:space="preserve">Maximum number </w:t>
      </w:r>
      <w:r>
        <w:rPr>
          <w:noProof/>
          <w:position w:val="-10"/>
        </w:rPr>
        <w:drawing>
          <wp:inline distT="0" distB="0" distL="0" distR="0" wp14:anchorId="63267A39" wp14:editId="562BBE6A">
            <wp:extent cx="55245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41300"/>
                    </a:xfrm>
                    <a:prstGeom prst="rect">
                      <a:avLst/>
                    </a:prstGeom>
                    <a:noFill/>
                    <a:ln>
                      <a:noFill/>
                    </a:ln>
                  </pic:spPr>
                </pic:pic>
              </a:graphicData>
            </a:graphic>
          </wp:inline>
        </w:drawing>
      </w:r>
      <w:r>
        <w:t xml:space="preserve"> of monitored PDCCH candidates per slot for a DL BWP with SCS configuration </w:t>
      </w:r>
      <w:r>
        <w:rPr>
          <w:noProof/>
          <w:position w:val="-10"/>
        </w:rPr>
        <w:drawing>
          <wp:inline distT="0" distB="0" distL="0" distR="0" wp14:anchorId="6734BCF3" wp14:editId="6D41AB50">
            <wp:extent cx="73660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9206F" w:rsidRPr="00B916EC" w14:paraId="3CD37869" w14:textId="77777777" w:rsidTr="001415B6">
        <w:trPr>
          <w:cantSplit/>
          <w:jc w:val="center"/>
        </w:trPr>
        <w:tc>
          <w:tcPr>
            <w:tcW w:w="1465" w:type="dxa"/>
            <w:shd w:val="clear" w:color="auto" w:fill="E0E0E0"/>
            <w:vAlign w:val="center"/>
          </w:tcPr>
          <w:p w14:paraId="5ED04657" w14:textId="77777777" w:rsidR="00E9206F" w:rsidRPr="00B916EC" w:rsidRDefault="00E9206F" w:rsidP="001415B6">
            <w:pPr>
              <w:pStyle w:val="TAH"/>
              <w:rPr>
                <w:rFonts w:ascii="Times New Roman" w:hAnsi="Times New Roman"/>
                <w:sz w:val="20"/>
              </w:rPr>
            </w:pPr>
            <w:r>
              <w:rPr>
                <w:noProof/>
                <w:position w:val="-10"/>
              </w:rPr>
              <w:drawing>
                <wp:inline distT="0" distB="0" distL="0" distR="0" wp14:anchorId="0B5611A1" wp14:editId="7FEF00D0">
                  <wp:extent cx="18415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00" w:type="dxa"/>
            <w:shd w:val="clear" w:color="auto" w:fill="E0E0E0"/>
            <w:vAlign w:val="center"/>
          </w:tcPr>
          <w:p w14:paraId="7727617A" w14:textId="77777777" w:rsidR="00E9206F" w:rsidRPr="00B916EC" w:rsidRDefault="00E9206F" w:rsidP="001415B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rPr>
              <w:drawing>
                <wp:inline distT="0" distB="0" distL="0" distR="0" wp14:anchorId="0EFF15AA" wp14:editId="6AEED606">
                  <wp:extent cx="55245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p>
        </w:tc>
      </w:tr>
      <w:tr w:rsidR="00E9206F" w:rsidRPr="00B916EC" w14:paraId="5AE6B3BB" w14:textId="77777777" w:rsidTr="001415B6">
        <w:trPr>
          <w:cantSplit/>
          <w:jc w:val="center"/>
        </w:trPr>
        <w:tc>
          <w:tcPr>
            <w:tcW w:w="1465" w:type="dxa"/>
            <w:vAlign w:val="center"/>
          </w:tcPr>
          <w:p w14:paraId="17BF2DFD" w14:textId="77777777" w:rsidR="00E9206F" w:rsidRPr="00B916EC" w:rsidRDefault="00E9206F" w:rsidP="001415B6">
            <w:pPr>
              <w:pStyle w:val="TAC"/>
            </w:pPr>
            <w:r>
              <w:t>0</w:t>
            </w:r>
          </w:p>
        </w:tc>
        <w:tc>
          <w:tcPr>
            <w:tcW w:w="7800" w:type="dxa"/>
            <w:vAlign w:val="center"/>
          </w:tcPr>
          <w:p w14:paraId="1C53EE39" w14:textId="77777777" w:rsidR="00E9206F" w:rsidRPr="00B916EC" w:rsidRDefault="00E9206F" w:rsidP="001415B6">
            <w:pPr>
              <w:pStyle w:val="TAC"/>
            </w:pPr>
            <w:r w:rsidRPr="00B916EC">
              <w:t>4</w:t>
            </w:r>
            <w:r>
              <w:t>4</w:t>
            </w:r>
          </w:p>
        </w:tc>
      </w:tr>
      <w:tr w:rsidR="00E9206F" w:rsidRPr="00B916EC" w14:paraId="7C66974C" w14:textId="77777777" w:rsidTr="001415B6">
        <w:trPr>
          <w:cantSplit/>
          <w:jc w:val="center"/>
        </w:trPr>
        <w:tc>
          <w:tcPr>
            <w:tcW w:w="1465" w:type="dxa"/>
            <w:vAlign w:val="center"/>
          </w:tcPr>
          <w:p w14:paraId="5F8A0185" w14:textId="77777777" w:rsidR="00E9206F" w:rsidRPr="00B916EC" w:rsidRDefault="00E9206F" w:rsidP="001415B6">
            <w:pPr>
              <w:pStyle w:val="TAC"/>
            </w:pPr>
            <w:r>
              <w:t>1</w:t>
            </w:r>
          </w:p>
        </w:tc>
        <w:tc>
          <w:tcPr>
            <w:tcW w:w="7800" w:type="dxa"/>
            <w:vAlign w:val="center"/>
          </w:tcPr>
          <w:p w14:paraId="4C693D6F" w14:textId="77777777" w:rsidR="00E9206F" w:rsidRPr="00B916EC" w:rsidRDefault="00E9206F" w:rsidP="001415B6">
            <w:pPr>
              <w:pStyle w:val="TAC"/>
            </w:pPr>
            <w:r>
              <w:t>36</w:t>
            </w:r>
          </w:p>
        </w:tc>
      </w:tr>
      <w:tr w:rsidR="00E9206F" w:rsidRPr="00B916EC" w14:paraId="2CB22FC8" w14:textId="77777777" w:rsidTr="001415B6">
        <w:trPr>
          <w:cantSplit/>
          <w:jc w:val="center"/>
        </w:trPr>
        <w:tc>
          <w:tcPr>
            <w:tcW w:w="1465" w:type="dxa"/>
            <w:vAlign w:val="center"/>
          </w:tcPr>
          <w:p w14:paraId="06C745DC" w14:textId="77777777" w:rsidR="00E9206F" w:rsidRPr="00B916EC" w:rsidRDefault="00E9206F" w:rsidP="001415B6">
            <w:pPr>
              <w:pStyle w:val="TAC"/>
            </w:pPr>
            <w:r>
              <w:t>2</w:t>
            </w:r>
          </w:p>
        </w:tc>
        <w:tc>
          <w:tcPr>
            <w:tcW w:w="7800" w:type="dxa"/>
            <w:vAlign w:val="center"/>
          </w:tcPr>
          <w:p w14:paraId="25CFB728" w14:textId="77777777" w:rsidR="00E9206F" w:rsidRPr="00B916EC" w:rsidRDefault="00E9206F" w:rsidP="001415B6">
            <w:pPr>
              <w:pStyle w:val="TAC"/>
            </w:pPr>
            <w:r>
              <w:t>22</w:t>
            </w:r>
          </w:p>
        </w:tc>
      </w:tr>
      <w:tr w:rsidR="00E9206F" w:rsidRPr="00B916EC" w14:paraId="137F4425" w14:textId="77777777" w:rsidTr="001415B6">
        <w:trPr>
          <w:cantSplit/>
          <w:jc w:val="center"/>
        </w:trPr>
        <w:tc>
          <w:tcPr>
            <w:tcW w:w="1465" w:type="dxa"/>
            <w:vAlign w:val="center"/>
          </w:tcPr>
          <w:p w14:paraId="4ADFD29D" w14:textId="77777777" w:rsidR="00E9206F" w:rsidRDefault="00E9206F" w:rsidP="001415B6">
            <w:pPr>
              <w:pStyle w:val="TAC"/>
            </w:pPr>
            <w:r>
              <w:t>3</w:t>
            </w:r>
          </w:p>
        </w:tc>
        <w:tc>
          <w:tcPr>
            <w:tcW w:w="7800" w:type="dxa"/>
            <w:vAlign w:val="center"/>
          </w:tcPr>
          <w:p w14:paraId="079FAB67" w14:textId="77777777" w:rsidR="00E9206F" w:rsidRDefault="00E9206F" w:rsidP="001415B6">
            <w:pPr>
              <w:pStyle w:val="TAC"/>
            </w:pPr>
            <w:r>
              <w:t>20</w:t>
            </w:r>
          </w:p>
        </w:tc>
      </w:tr>
    </w:tbl>
    <w:p w14:paraId="1465FBFD" w14:textId="77777777" w:rsidR="00E9206F" w:rsidRDefault="00E9206F" w:rsidP="00E9206F">
      <w:pPr>
        <w:pStyle w:val="BodyText"/>
      </w:pPr>
    </w:p>
    <w:p w14:paraId="2780C365" w14:textId="77777777" w:rsidR="00E9206F" w:rsidRPr="00B916EC" w:rsidRDefault="00E9206F" w:rsidP="00E9206F">
      <w:pPr>
        <w:pStyle w:val="TH"/>
        <w:jc w:val="both"/>
      </w:pPr>
      <w:r>
        <w:lastRenderedPageBreak/>
        <w:t>Table 10.1-3</w:t>
      </w:r>
      <w:r w:rsidRPr="00B916EC">
        <w:t xml:space="preserve">: </w:t>
      </w:r>
      <w:r>
        <w:t xml:space="preserve">Maximum number </w:t>
      </w:r>
      <w:r>
        <w:rPr>
          <w:noProof/>
          <w:position w:val="-10"/>
        </w:rPr>
        <w:drawing>
          <wp:inline distT="0" distB="0" distL="0" distR="0" wp14:anchorId="67959804" wp14:editId="70F5CAC2">
            <wp:extent cx="488950" cy="2413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t xml:space="preserve"> of non-overlapped CCEs per slot for a DL BWP with SCS configuration </w:t>
      </w:r>
      <w:r>
        <w:rPr>
          <w:noProof/>
          <w:position w:val="-10"/>
        </w:rPr>
        <w:drawing>
          <wp:inline distT="0" distB="0" distL="0" distR="0" wp14:anchorId="2070779A" wp14:editId="15A923FE">
            <wp:extent cx="7366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9206F" w:rsidRPr="00BB208D" w14:paraId="4931F934" w14:textId="77777777" w:rsidTr="001415B6">
        <w:trPr>
          <w:cantSplit/>
          <w:jc w:val="center"/>
        </w:trPr>
        <w:tc>
          <w:tcPr>
            <w:tcW w:w="1465" w:type="dxa"/>
            <w:shd w:val="clear" w:color="auto" w:fill="E0E0E0"/>
            <w:vAlign w:val="center"/>
          </w:tcPr>
          <w:p w14:paraId="11D4D329" w14:textId="77777777" w:rsidR="00E9206F" w:rsidRPr="00B916EC" w:rsidRDefault="00E9206F" w:rsidP="001415B6">
            <w:pPr>
              <w:pStyle w:val="TAH"/>
              <w:rPr>
                <w:rFonts w:ascii="Times New Roman" w:hAnsi="Times New Roman"/>
                <w:sz w:val="20"/>
              </w:rPr>
            </w:pPr>
            <w:r>
              <w:rPr>
                <w:noProof/>
                <w:position w:val="-10"/>
              </w:rPr>
              <w:drawing>
                <wp:inline distT="0" distB="0" distL="0" distR="0" wp14:anchorId="14D680F9" wp14:editId="041E7EB1">
                  <wp:extent cx="1841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170" w:type="dxa"/>
            <w:shd w:val="clear" w:color="auto" w:fill="E0E0E0"/>
            <w:vAlign w:val="center"/>
          </w:tcPr>
          <w:p w14:paraId="2CB57ABA" w14:textId="77777777" w:rsidR="00E9206F" w:rsidRPr="00B916EC" w:rsidRDefault="00E9206F" w:rsidP="001415B6">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rPr>
              <w:drawing>
                <wp:inline distT="0" distB="0" distL="0" distR="0" wp14:anchorId="20EF028D" wp14:editId="0C41A22F">
                  <wp:extent cx="488950" cy="2476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8950" cy="247650"/>
                          </a:xfrm>
                          <a:prstGeom prst="rect">
                            <a:avLst/>
                          </a:prstGeom>
                          <a:noFill/>
                          <a:ln>
                            <a:noFill/>
                          </a:ln>
                        </pic:spPr>
                      </pic:pic>
                    </a:graphicData>
                  </a:graphic>
                </wp:inline>
              </w:drawing>
            </w:r>
          </w:p>
        </w:tc>
      </w:tr>
      <w:tr w:rsidR="00E9206F" w:rsidRPr="00BB208D" w14:paraId="0F2C5B62" w14:textId="77777777" w:rsidTr="001415B6">
        <w:trPr>
          <w:cantSplit/>
          <w:jc w:val="center"/>
        </w:trPr>
        <w:tc>
          <w:tcPr>
            <w:tcW w:w="1465" w:type="dxa"/>
            <w:vAlign w:val="center"/>
          </w:tcPr>
          <w:p w14:paraId="1D320C3F" w14:textId="77777777" w:rsidR="00E9206F" w:rsidRPr="00B916EC" w:rsidRDefault="00E9206F" w:rsidP="001415B6">
            <w:pPr>
              <w:pStyle w:val="TAC"/>
            </w:pPr>
            <w:r>
              <w:t>0</w:t>
            </w:r>
          </w:p>
        </w:tc>
        <w:tc>
          <w:tcPr>
            <w:tcW w:w="7170" w:type="dxa"/>
            <w:vAlign w:val="center"/>
          </w:tcPr>
          <w:p w14:paraId="240C83E3" w14:textId="77777777" w:rsidR="00E9206F" w:rsidRPr="00B916EC" w:rsidRDefault="00E9206F" w:rsidP="001415B6">
            <w:pPr>
              <w:pStyle w:val="TAC"/>
            </w:pPr>
            <w:r>
              <w:t>56</w:t>
            </w:r>
          </w:p>
        </w:tc>
      </w:tr>
      <w:tr w:rsidR="00E9206F" w:rsidRPr="00BB208D" w14:paraId="3FD60FF7" w14:textId="77777777" w:rsidTr="001415B6">
        <w:trPr>
          <w:cantSplit/>
          <w:jc w:val="center"/>
        </w:trPr>
        <w:tc>
          <w:tcPr>
            <w:tcW w:w="1465" w:type="dxa"/>
            <w:vAlign w:val="center"/>
          </w:tcPr>
          <w:p w14:paraId="33BA6FC1" w14:textId="77777777" w:rsidR="00E9206F" w:rsidRPr="00B916EC" w:rsidRDefault="00E9206F" w:rsidP="001415B6">
            <w:pPr>
              <w:pStyle w:val="TAC"/>
            </w:pPr>
            <w:r>
              <w:t>1</w:t>
            </w:r>
          </w:p>
        </w:tc>
        <w:tc>
          <w:tcPr>
            <w:tcW w:w="7170" w:type="dxa"/>
            <w:vAlign w:val="center"/>
          </w:tcPr>
          <w:p w14:paraId="125E1EF3" w14:textId="77777777" w:rsidR="00E9206F" w:rsidRPr="00B916EC" w:rsidRDefault="00E9206F" w:rsidP="001415B6">
            <w:pPr>
              <w:pStyle w:val="TAC"/>
            </w:pPr>
            <w:r>
              <w:t>56</w:t>
            </w:r>
          </w:p>
        </w:tc>
      </w:tr>
      <w:tr w:rsidR="00E9206F" w:rsidRPr="00BB208D" w14:paraId="05F4276D" w14:textId="77777777" w:rsidTr="001415B6">
        <w:trPr>
          <w:cantSplit/>
          <w:jc w:val="center"/>
        </w:trPr>
        <w:tc>
          <w:tcPr>
            <w:tcW w:w="1465" w:type="dxa"/>
            <w:vAlign w:val="center"/>
          </w:tcPr>
          <w:p w14:paraId="122F5FB5" w14:textId="77777777" w:rsidR="00E9206F" w:rsidRPr="00B916EC" w:rsidRDefault="00E9206F" w:rsidP="001415B6">
            <w:pPr>
              <w:pStyle w:val="TAC"/>
            </w:pPr>
            <w:r>
              <w:t>2</w:t>
            </w:r>
          </w:p>
        </w:tc>
        <w:tc>
          <w:tcPr>
            <w:tcW w:w="7170" w:type="dxa"/>
            <w:vAlign w:val="center"/>
          </w:tcPr>
          <w:p w14:paraId="3E776896" w14:textId="77777777" w:rsidR="00E9206F" w:rsidRPr="00B916EC" w:rsidRDefault="00E9206F" w:rsidP="001415B6">
            <w:pPr>
              <w:pStyle w:val="TAC"/>
            </w:pPr>
            <w:r>
              <w:t>48</w:t>
            </w:r>
          </w:p>
        </w:tc>
      </w:tr>
      <w:tr w:rsidR="00E9206F" w:rsidRPr="00BB208D" w14:paraId="68418F45" w14:textId="77777777" w:rsidTr="001415B6">
        <w:trPr>
          <w:cantSplit/>
          <w:jc w:val="center"/>
        </w:trPr>
        <w:tc>
          <w:tcPr>
            <w:tcW w:w="1465" w:type="dxa"/>
            <w:vAlign w:val="center"/>
          </w:tcPr>
          <w:p w14:paraId="0299276A" w14:textId="77777777" w:rsidR="00E9206F" w:rsidRDefault="00E9206F" w:rsidP="001415B6">
            <w:pPr>
              <w:pStyle w:val="TAC"/>
            </w:pPr>
            <w:r>
              <w:t>3</w:t>
            </w:r>
          </w:p>
        </w:tc>
        <w:tc>
          <w:tcPr>
            <w:tcW w:w="7170" w:type="dxa"/>
            <w:vAlign w:val="center"/>
          </w:tcPr>
          <w:p w14:paraId="4889C46E" w14:textId="77777777" w:rsidR="00E9206F" w:rsidRDefault="00E9206F" w:rsidP="001415B6">
            <w:pPr>
              <w:pStyle w:val="TAC"/>
            </w:pPr>
            <w:r>
              <w:t>32</w:t>
            </w:r>
          </w:p>
        </w:tc>
      </w:tr>
    </w:tbl>
    <w:p w14:paraId="36223CB5" w14:textId="77777777" w:rsidR="00E9206F" w:rsidRDefault="00E9206F" w:rsidP="00E9206F">
      <w:pPr>
        <w:pStyle w:val="BodyText"/>
      </w:pPr>
    </w:p>
    <w:p w14:paraId="5A7FC225" w14:textId="77777777" w:rsidR="00E9206F" w:rsidRPr="000E4B12" w:rsidRDefault="00E9206F" w:rsidP="00E9206F">
      <w:pPr>
        <w:pStyle w:val="BodyText"/>
      </w:pPr>
      <w:r>
        <w:t xml:space="preserve">As a first step to start the processing timeline discussion, we fit simple formulae to the Rel-15 processing capabilities as the benchmarks for NR operation in 52.6 to 71 GHz. </w:t>
      </w:r>
      <w:r w:rsidRPr="000E4B12">
        <w:t>The Rel-15 PDCCH processing capabilities per slot can be fitted to simple formulae to obtain initial benchmarks for further discussion. Using the minimum mean absolute deviation fitting, the fitted PDCCH processing capabilities per slot are shown as follows:</w:t>
      </w:r>
    </w:p>
    <w:p w14:paraId="7247EFD6" w14:textId="051ECB14" w:rsidR="00E9206F" w:rsidRPr="00BA04A6" w:rsidRDefault="002F6D4B" w:rsidP="00E9206F">
      <w:pPr>
        <w:pStyle w:val="BodyText"/>
        <w:rPr>
          <w:rFonts w:eastAsiaTheme="minorEastAsia"/>
        </w:rPr>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m:rPr>
                  <m:sty m:val="p"/>
                </m:rPr>
                <w:rPr>
                  <w:rFonts w:ascii="Cambria Math" w:hAnsi="Cambria Math"/>
                </w:rPr>
                <m:t>slot</m:t>
              </m:r>
            </m:sup>
          </m:sSubSup>
          <m:r>
            <m:rPr>
              <m:aln/>
            </m:rPr>
            <w:rPr>
              <w:rFonts w:ascii="Cambria Math" w:hAnsi="Cambria Math"/>
            </w:rPr>
            <m:t>≅44×</m:t>
          </m:r>
          <m:sSup>
            <m:sSupPr>
              <m:ctrlPr>
                <w:rPr>
                  <w:rFonts w:ascii="Cambria Math" w:hAnsi="Cambria Math"/>
                </w:rPr>
              </m:ctrlPr>
            </m:sSupPr>
            <m:e>
              <m:r>
                <w:rPr>
                  <w:rFonts w:ascii="Cambria Math" w:hAnsi="Cambria Math"/>
                </w:rPr>
                <m:t>2</m:t>
              </m:r>
            </m:e>
            <m:sup>
              <m:r>
                <w:rPr>
                  <w:rFonts w:ascii="Cambria Math" w:hAnsi="Cambria Math"/>
                </w:rPr>
                <m:t>-0.38μ</m:t>
              </m:r>
            </m:sup>
          </m:sSup>
          <m:r>
            <m:rPr>
              <m:sty m:val="p"/>
            </m:rPr>
            <w:br/>
          </m:r>
        </m:oMath>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r>
            <m:rPr>
              <m:sty m:val="p"/>
              <m:aln/>
            </m:rPr>
            <w:rPr>
              <w:rFonts w:ascii="Cambria Math" w:hAnsi="Cambria Math"/>
            </w:rPr>
            <m:t>≅62.6×</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-0.32</m:t>
              </m:r>
              <m:r>
                <w:rPr>
                  <w:rFonts w:ascii="Cambria Math" w:hAnsi="Cambria Math"/>
                </w:rPr>
                <m:t>μ</m:t>
              </m:r>
            </m:sup>
          </m:sSup>
        </m:oMath>
      </m:oMathPara>
    </w:p>
    <w:p w14:paraId="4CC8E23F" w14:textId="0190FCB1" w:rsidR="00E9206F" w:rsidRPr="00B04ED4" w:rsidRDefault="00E9206F" w:rsidP="00E9206F">
      <w:pPr>
        <w:pStyle w:val="BodyText"/>
      </w:pPr>
      <w:r w:rsidRPr="00B24670">
        <w:t xml:space="preserve">The formula was optimized to minimize the mean absolute deviation from the Rel-15 values. </w:t>
      </w:r>
      <w:bookmarkStart w:id="41" w:name="_Hlk61353668"/>
      <w:r w:rsidRPr="00B24670">
        <w:t>The fitted formulae clearly exhibit exponential reduction in UE PDCCH processing capabilities with higher numerologies</w:t>
      </w:r>
      <w:r>
        <w:t xml:space="preserve"> as can be further observed in </w:t>
      </w:r>
      <w:r>
        <w:fldChar w:fldCharType="begin"/>
      </w:r>
      <w:r>
        <w:instrText xml:space="preserve"> REF _Ref60921413 \h </w:instrText>
      </w:r>
      <w:r>
        <w:fldChar w:fldCharType="separate"/>
      </w:r>
      <w:r w:rsidR="00584934">
        <w:t xml:space="preserve">Figure </w:t>
      </w:r>
      <w:r w:rsidR="00584934">
        <w:rPr>
          <w:noProof/>
        </w:rPr>
        <w:t>7</w:t>
      </w:r>
      <w:r>
        <w:fldChar w:fldCharType="end"/>
      </w:r>
      <w:r w:rsidRPr="00B24670">
        <w:t>.</w:t>
      </w:r>
      <w:bookmarkEnd w:id="41"/>
      <w:r>
        <w:t xml:space="preserve"> Since </w:t>
      </w:r>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oMath>
      <w:r>
        <w:rPr>
          <w:rFonts w:eastAsiaTheme="minorEastAsia"/>
        </w:rPr>
        <w:t xml:space="preserve"> for </w:t>
      </w:r>
      <m:oMath>
        <m:r>
          <w:rPr>
            <w:rFonts w:ascii="Cambria Math" w:eastAsiaTheme="minorEastAsia" w:hAnsi="Cambria Math"/>
          </w:rPr>
          <m:t>μ=0</m:t>
        </m:r>
      </m:oMath>
      <w:r>
        <w:rPr>
          <w:rFonts w:eastAsiaTheme="minorEastAsia"/>
        </w:rPr>
        <w:t xml:space="preserve"> and </w:t>
      </w:r>
      <m:oMath>
        <m:r>
          <w:rPr>
            <w:rFonts w:ascii="Cambria Math" w:eastAsiaTheme="minorEastAsia" w:hAnsi="Cambria Math"/>
          </w:rPr>
          <m:t>μ=1</m:t>
        </m:r>
      </m:oMath>
      <w:r>
        <w:rPr>
          <w:rFonts w:eastAsiaTheme="minorEastAsia"/>
        </w:rPr>
        <w:t xml:space="preserve"> are identical, the fitting uses a nominal </w:t>
      </w:r>
      <m:oMath>
        <m:r>
          <w:rPr>
            <w:rFonts w:ascii="Cambria Math" w:eastAsiaTheme="minorEastAsia" w:hAnsi="Cambria Math"/>
          </w:rPr>
          <m:t>μ=0.5</m:t>
        </m:r>
      </m:oMath>
      <w:r>
        <w:rPr>
          <w:rFonts w:eastAsiaTheme="minorEastAsia"/>
        </w:rPr>
        <w:t xml:space="preserve"> to pair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r>
          <w:rPr>
            <w:rFonts w:ascii="Cambria Math" w:hAnsi="Cambria Math"/>
          </w:rPr>
          <m:t>=56</m:t>
        </m:r>
      </m:oMath>
      <w:r>
        <w:rPr>
          <w:rFonts w:eastAsiaTheme="minorEastAsia"/>
        </w:rPr>
        <w:t xml:space="preserve"> as input.</w:t>
      </w:r>
    </w:p>
    <w:p w14:paraId="519C6E51" w14:textId="77777777" w:rsidR="00E9206F" w:rsidRDefault="00E9206F" w:rsidP="00E9206F">
      <w:pPr>
        <w:pStyle w:val="BodyText"/>
        <w:jc w:val="center"/>
      </w:pPr>
      <w:r>
        <w:rPr>
          <w:noProof/>
          <w:sz w:val="16"/>
          <w:szCs w:val="16"/>
          <w:lang w:eastAsia="en-US"/>
        </w:rPr>
        <w:drawing>
          <wp:inline distT="0" distB="0" distL="0" distR="0" wp14:anchorId="4CF79913" wp14:editId="51B849FD">
            <wp:extent cx="3200400" cy="2395728"/>
            <wp:effectExtent l="0" t="0" r="0" b="508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d_cce_extrapolation.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00400" cy="2395728"/>
                    </a:xfrm>
                    <a:prstGeom prst="rect">
                      <a:avLst/>
                    </a:prstGeom>
                  </pic:spPr>
                </pic:pic>
              </a:graphicData>
            </a:graphic>
          </wp:inline>
        </w:drawing>
      </w:r>
    </w:p>
    <w:p w14:paraId="7940F4AF" w14:textId="2F2DFD2E" w:rsidR="00E9206F" w:rsidRDefault="00E9206F" w:rsidP="00E9206F">
      <w:pPr>
        <w:pStyle w:val="Caption"/>
        <w:jc w:val="center"/>
      </w:pPr>
      <w:bookmarkStart w:id="42" w:name="_Ref60921413"/>
      <w:bookmarkStart w:id="43" w:name="_Hlk61354178"/>
      <w:r>
        <w:t xml:space="preserve">Figure </w:t>
      </w:r>
      <w:r>
        <w:fldChar w:fldCharType="begin"/>
      </w:r>
      <w:r>
        <w:instrText xml:space="preserve"> SEQ Figure \* ARABIC </w:instrText>
      </w:r>
      <w:r>
        <w:fldChar w:fldCharType="separate"/>
      </w:r>
      <w:r w:rsidR="00584934">
        <w:rPr>
          <w:noProof/>
        </w:rPr>
        <w:t>7</w:t>
      </w:r>
      <w:r>
        <w:fldChar w:fldCharType="end"/>
      </w:r>
      <w:bookmarkEnd w:id="42"/>
      <w: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r w:rsidR="00AB5B0E">
        <w:rPr>
          <w:rFonts w:cs="Arial"/>
        </w:rPr>
        <w:t xml:space="preserve"> </w:t>
      </w:r>
      <w:r w:rsidR="00AB5B0E">
        <w:t>for MBB applications</w:t>
      </w:r>
    </w:p>
    <w:bookmarkEnd w:id="43"/>
    <w:p w14:paraId="4BF7E6EB" w14:textId="7AC06B3B" w:rsidR="00E9206F" w:rsidRDefault="00E9206F" w:rsidP="00E9206F">
      <w:pPr>
        <w:pStyle w:val="BodyText"/>
      </w:pPr>
      <w:r w:rsidRPr="00295441">
        <w:t xml:space="preserve">The extrapolated UE PDCCH processing capabilities </w:t>
      </w:r>
      <w:r>
        <w:t xml:space="preserve">in </w:t>
      </w:r>
      <w:r>
        <w:fldChar w:fldCharType="begin"/>
      </w:r>
      <w:r>
        <w:instrText xml:space="preserve"> REF _Ref60921413 \h </w:instrText>
      </w:r>
      <w:r>
        <w:fldChar w:fldCharType="separate"/>
      </w:r>
      <w:r w:rsidR="00584934">
        <w:t xml:space="preserve">Figure </w:t>
      </w:r>
      <w:r w:rsidR="00584934">
        <w:rPr>
          <w:noProof/>
        </w:rPr>
        <w:t>7</w:t>
      </w:r>
      <w:r>
        <w:fldChar w:fldCharType="end"/>
      </w:r>
      <w:r>
        <w:t xml:space="preserve"> </w:t>
      </w:r>
      <w:r w:rsidRPr="00295441">
        <w:t xml:space="preserve">are </w:t>
      </w:r>
      <w:r>
        <w:t>tabulated in</w:t>
      </w:r>
      <w:r w:rsidRPr="00295441">
        <w:t xml:space="preserve"> </w:t>
      </w:r>
      <w:r w:rsidRPr="00295441">
        <w:fldChar w:fldCharType="begin"/>
      </w:r>
      <w:r w:rsidRPr="00295441">
        <w:instrText xml:space="preserve"> REF _Ref60824877 \h  \* MERGEFORMAT </w:instrText>
      </w:r>
      <w:r w:rsidRPr="00295441">
        <w:fldChar w:fldCharType="separate"/>
      </w:r>
      <w:r w:rsidR="00584934" w:rsidRPr="00F91CFE">
        <w:t xml:space="preserve"> </w:t>
      </w:r>
      <w:r w:rsidR="00584934">
        <w:t>Table</w:t>
      </w:r>
      <w:r w:rsidR="00584934">
        <w:rPr>
          <w:noProof/>
        </w:rPr>
        <w:t xml:space="preserve"> 1</w:t>
      </w:r>
      <w:r w:rsidRPr="00295441">
        <w:fldChar w:fldCharType="end"/>
      </w:r>
      <w:r>
        <w:t xml:space="preserve"> as a function of SCS</w:t>
      </w:r>
      <w:r w:rsidRPr="00295441">
        <w:t xml:space="preserve">. The numbers indicate there may be doubts on whether the UE operating with a SCS such as 960 kHz SCS can support even one AL-16 PDCCH </w:t>
      </w:r>
      <w:r>
        <w:t xml:space="preserve">considering the need to configure </w:t>
      </w:r>
      <w:proofErr w:type="gramStart"/>
      <w:r>
        <w:t>a number of</w:t>
      </w:r>
      <w:proofErr w:type="gramEnd"/>
      <w:r>
        <w:t xml:space="preserve"> common and UE specific search spaces with various aggregation levels.</w:t>
      </w:r>
    </w:p>
    <w:p w14:paraId="00629D44" w14:textId="052A6CA5" w:rsidR="00E9206F" w:rsidRPr="000E4B12" w:rsidRDefault="00E9206F" w:rsidP="00E9206F">
      <w:pPr>
        <w:pStyle w:val="Caption"/>
        <w:jc w:val="center"/>
        <w:rPr>
          <w:rFonts w:cs="Arial"/>
          <w:b w:val="0"/>
        </w:rPr>
      </w:pPr>
      <w:bookmarkStart w:id="44" w:name="_Ref60824877"/>
      <w:r w:rsidRPr="00F91CFE">
        <w:t xml:space="preserve"> </w:t>
      </w:r>
      <w:r>
        <w:t xml:space="preserve">Table </w:t>
      </w:r>
      <w:r>
        <w:fldChar w:fldCharType="begin"/>
      </w:r>
      <w:r>
        <w:instrText xml:space="preserve"> SEQ Table \* ARABIC </w:instrText>
      </w:r>
      <w:r>
        <w:fldChar w:fldCharType="separate"/>
      </w:r>
      <w:r w:rsidR="00584934">
        <w:rPr>
          <w:noProof/>
        </w:rPr>
        <w:t>1</w:t>
      </w:r>
      <w:r>
        <w:fldChar w:fldCharType="end"/>
      </w:r>
      <w:bookmarkEnd w:id="44"/>
      <w:r w:rsidRPr="000E4B12">
        <w:rPr>
          <w:rFonts w:cs="Arial"/>
        </w:rP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r w:rsidR="00AB5B0E" w:rsidRPr="00AB5B0E">
        <w:t xml:space="preserve"> </w:t>
      </w:r>
      <w:r w:rsidR="00AB5B0E">
        <w:t>for MBB applications</w:t>
      </w:r>
    </w:p>
    <w:tbl>
      <w:tblPr>
        <w:tblW w:w="7624" w:type="dxa"/>
        <w:tblInd w:w="895" w:type="dxa"/>
        <w:tblLayout w:type="fixed"/>
        <w:tblLook w:val="04A0" w:firstRow="1" w:lastRow="0" w:firstColumn="1" w:lastColumn="0" w:noHBand="0" w:noVBand="1"/>
      </w:tblPr>
      <w:tblGrid>
        <w:gridCol w:w="1530"/>
        <w:gridCol w:w="1015"/>
        <w:gridCol w:w="1016"/>
        <w:gridCol w:w="1016"/>
        <w:gridCol w:w="1015"/>
        <w:gridCol w:w="1016"/>
        <w:gridCol w:w="1016"/>
      </w:tblGrid>
      <w:tr w:rsidR="00E9206F" w:rsidRPr="000E4B12" w14:paraId="19722C8D" w14:textId="77777777" w:rsidTr="001415B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6237EFA6" w14:textId="77777777" w:rsidR="00E9206F" w:rsidRPr="000E4B12" w:rsidRDefault="00E9206F" w:rsidP="001415B6">
            <w:pPr>
              <w:spacing w:before="40" w:after="40"/>
              <w:jc w:val="center"/>
              <w:rPr>
                <w:lang w:eastAsia="zh-CN"/>
              </w:rPr>
            </w:pPr>
            <w:r w:rsidRPr="000E4B12">
              <w:rPr>
                <w:lang w:eastAsia="zh-CN"/>
              </w:rPr>
              <w:t>SCS [kHz]</w:t>
            </w:r>
          </w:p>
        </w:tc>
        <w:tc>
          <w:tcPr>
            <w:tcW w:w="1015" w:type="dxa"/>
            <w:tcBorders>
              <w:top w:val="single" w:sz="4" w:space="0" w:color="auto"/>
              <w:left w:val="double" w:sz="4" w:space="0" w:color="auto"/>
              <w:bottom w:val="double" w:sz="4" w:space="0" w:color="auto"/>
              <w:right w:val="single" w:sz="4" w:space="0" w:color="auto"/>
            </w:tcBorders>
            <w:vAlign w:val="center"/>
            <w:hideMark/>
          </w:tcPr>
          <w:p w14:paraId="16F1AB1F" w14:textId="77777777" w:rsidR="00E9206F" w:rsidRPr="000E4B12" w:rsidRDefault="00E9206F" w:rsidP="001415B6">
            <w:pPr>
              <w:spacing w:before="40" w:after="40"/>
              <w:jc w:val="center"/>
              <w:rPr>
                <w:lang w:val="en-GB" w:eastAsia="zh-CN"/>
              </w:rPr>
            </w:pPr>
            <w:r w:rsidRPr="000E4B12">
              <w:rPr>
                <w:lang w:val="en-GB" w:eastAsia="zh-CN"/>
              </w:rPr>
              <w:t>15</w:t>
            </w:r>
          </w:p>
        </w:tc>
        <w:tc>
          <w:tcPr>
            <w:tcW w:w="1016" w:type="dxa"/>
            <w:tcBorders>
              <w:top w:val="single" w:sz="4" w:space="0" w:color="auto"/>
              <w:left w:val="single" w:sz="4" w:space="0" w:color="auto"/>
              <w:bottom w:val="double" w:sz="4" w:space="0" w:color="auto"/>
              <w:right w:val="single" w:sz="4" w:space="0" w:color="auto"/>
            </w:tcBorders>
            <w:vAlign w:val="center"/>
            <w:hideMark/>
          </w:tcPr>
          <w:p w14:paraId="503E70C5" w14:textId="77777777" w:rsidR="00E9206F" w:rsidRPr="000E4B12" w:rsidRDefault="00E9206F" w:rsidP="001415B6">
            <w:pPr>
              <w:spacing w:before="40" w:after="40"/>
              <w:jc w:val="center"/>
              <w:rPr>
                <w:lang w:val="en-GB" w:eastAsia="zh-CN"/>
              </w:rPr>
            </w:pPr>
            <w:r w:rsidRPr="000E4B12">
              <w:rPr>
                <w:lang w:val="en-GB" w:eastAsia="zh-CN"/>
              </w:rPr>
              <w:t>30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6790B5D" w14:textId="77777777" w:rsidR="00E9206F" w:rsidRPr="000E4B12" w:rsidRDefault="00E9206F" w:rsidP="001415B6">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6CB5A16F" w14:textId="77777777" w:rsidR="00E9206F" w:rsidRPr="000E4B12" w:rsidRDefault="00E9206F" w:rsidP="001415B6">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EFF1770" w14:textId="77777777" w:rsidR="00E9206F" w:rsidRPr="00F91CFE" w:rsidRDefault="00E9206F" w:rsidP="001415B6">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B32DDC1" w14:textId="77777777" w:rsidR="00E9206F" w:rsidRPr="00F91CFE" w:rsidRDefault="00E9206F" w:rsidP="001415B6">
            <w:pPr>
              <w:spacing w:before="40" w:after="40"/>
              <w:jc w:val="center"/>
              <w:rPr>
                <w:color w:val="FF0000"/>
                <w:lang w:val="en-GB" w:eastAsia="zh-CN"/>
              </w:rPr>
            </w:pPr>
            <w:r w:rsidRPr="00F91CFE">
              <w:rPr>
                <w:color w:val="FF0000"/>
                <w:lang w:val="en-GB" w:eastAsia="zh-CN"/>
              </w:rPr>
              <w:t>960</w:t>
            </w:r>
          </w:p>
        </w:tc>
      </w:tr>
      <w:tr w:rsidR="00E9206F" w:rsidRPr="000E4B12" w14:paraId="17ADF7DF" w14:textId="77777777" w:rsidTr="001415B6">
        <w:trPr>
          <w:trHeight w:val="52"/>
        </w:trPr>
        <w:tc>
          <w:tcPr>
            <w:tcW w:w="1530" w:type="dxa"/>
            <w:tcBorders>
              <w:top w:val="double" w:sz="4" w:space="0" w:color="auto"/>
              <w:left w:val="single" w:sz="4" w:space="0" w:color="auto"/>
              <w:bottom w:val="single" w:sz="4" w:space="0" w:color="auto"/>
              <w:right w:val="double" w:sz="4" w:space="0" w:color="auto"/>
            </w:tcBorders>
            <w:vAlign w:val="center"/>
            <w:hideMark/>
          </w:tcPr>
          <w:p w14:paraId="4C23E561" w14:textId="77777777" w:rsidR="00E9206F" w:rsidRPr="000E4B12" w:rsidRDefault="002F6D4B" w:rsidP="001415B6">
            <w:pPr>
              <w:spacing w:before="40" w:after="40"/>
              <w:jc w:val="center"/>
              <w:rPr>
                <w:lang w:eastAsia="zh-CN"/>
              </w:rPr>
            </w:pPr>
            <m:oMathPara>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BD,μ</m:t>
                    </m:r>
                  </m:sub>
                  <m:sup>
                    <m:r>
                      <m:rPr>
                        <m:sty m:val="p"/>
                      </m:rPr>
                      <w:rPr>
                        <w:rFonts w:ascii="Cambria Math" w:hAnsi="Cambria Math"/>
                        <w:lang w:eastAsia="zh-CN"/>
                      </w:rPr>
                      <m:t>slot</m:t>
                    </m:r>
                  </m:sup>
                </m:sSubSup>
              </m:oMath>
            </m:oMathPara>
          </w:p>
        </w:tc>
        <w:tc>
          <w:tcPr>
            <w:tcW w:w="1015" w:type="dxa"/>
            <w:tcBorders>
              <w:top w:val="double" w:sz="4" w:space="0" w:color="auto"/>
              <w:left w:val="double" w:sz="4" w:space="0" w:color="auto"/>
              <w:bottom w:val="single" w:sz="4" w:space="0" w:color="auto"/>
              <w:right w:val="single" w:sz="4" w:space="0" w:color="auto"/>
            </w:tcBorders>
            <w:vAlign w:val="bottom"/>
            <w:hideMark/>
          </w:tcPr>
          <w:p w14:paraId="18239102" w14:textId="77777777" w:rsidR="00E9206F" w:rsidRPr="000E4B12" w:rsidRDefault="00E9206F" w:rsidP="001415B6">
            <w:pPr>
              <w:spacing w:before="40" w:after="40"/>
              <w:jc w:val="center"/>
              <w:rPr>
                <w:b/>
                <w:bCs/>
                <w:lang w:val="en-GB" w:eastAsia="zh-CN"/>
              </w:rPr>
            </w:pPr>
            <w:r w:rsidRPr="000E4B12">
              <w:rPr>
                <w:b/>
                <w:bCs/>
                <w:lang w:val="en-GB" w:eastAsia="zh-CN"/>
              </w:rPr>
              <w:t>44</w:t>
            </w:r>
          </w:p>
        </w:tc>
        <w:tc>
          <w:tcPr>
            <w:tcW w:w="1016" w:type="dxa"/>
            <w:tcBorders>
              <w:top w:val="double" w:sz="4" w:space="0" w:color="auto"/>
              <w:left w:val="single" w:sz="4" w:space="0" w:color="auto"/>
              <w:bottom w:val="single" w:sz="4" w:space="0" w:color="auto"/>
              <w:right w:val="single" w:sz="4" w:space="0" w:color="auto"/>
            </w:tcBorders>
            <w:vAlign w:val="bottom"/>
            <w:hideMark/>
          </w:tcPr>
          <w:p w14:paraId="277EBA3E" w14:textId="77777777" w:rsidR="00E9206F" w:rsidRPr="000E4B12" w:rsidRDefault="00E9206F" w:rsidP="001415B6">
            <w:pPr>
              <w:spacing w:before="40" w:after="40"/>
              <w:jc w:val="center"/>
              <w:rPr>
                <w:b/>
                <w:bCs/>
                <w:lang w:val="en-GB" w:eastAsia="zh-CN"/>
              </w:rPr>
            </w:pPr>
            <w:r w:rsidRPr="000E4B12">
              <w:rPr>
                <w:b/>
                <w:bCs/>
                <w:lang w:val="en-GB" w:eastAsia="zh-CN"/>
              </w:rPr>
              <w:t>36</w:t>
            </w:r>
          </w:p>
        </w:tc>
        <w:tc>
          <w:tcPr>
            <w:tcW w:w="1016" w:type="dxa"/>
            <w:tcBorders>
              <w:top w:val="double" w:sz="4" w:space="0" w:color="auto"/>
              <w:left w:val="single" w:sz="4" w:space="0" w:color="auto"/>
              <w:bottom w:val="single" w:sz="4" w:space="0" w:color="auto"/>
              <w:right w:val="single" w:sz="4" w:space="0" w:color="auto"/>
            </w:tcBorders>
            <w:vAlign w:val="bottom"/>
            <w:hideMark/>
          </w:tcPr>
          <w:p w14:paraId="43BB9F0F" w14:textId="77777777" w:rsidR="00E9206F" w:rsidRPr="000E4B12" w:rsidRDefault="00E9206F" w:rsidP="001415B6">
            <w:pPr>
              <w:spacing w:before="40" w:after="40"/>
              <w:jc w:val="center"/>
              <w:rPr>
                <w:b/>
                <w:bCs/>
                <w:lang w:val="en-GB" w:eastAsia="zh-CN"/>
              </w:rPr>
            </w:pPr>
            <w:r w:rsidRPr="000E4B12">
              <w:rPr>
                <w:b/>
                <w:bCs/>
                <w:lang w:val="en-GB" w:eastAsia="zh-CN"/>
              </w:rPr>
              <w:t>22</w:t>
            </w:r>
          </w:p>
        </w:tc>
        <w:tc>
          <w:tcPr>
            <w:tcW w:w="1015" w:type="dxa"/>
            <w:tcBorders>
              <w:top w:val="double" w:sz="4" w:space="0" w:color="auto"/>
              <w:left w:val="single" w:sz="4" w:space="0" w:color="auto"/>
              <w:bottom w:val="single" w:sz="4" w:space="0" w:color="auto"/>
              <w:right w:val="single" w:sz="4" w:space="0" w:color="auto"/>
            </w:tcBorders>
            <w:vAlign w:val="bottom"/>
            <w:hideMark/>
          </w:tcPr>
          <w:p w14:paraId="0FD1E7AE" w14:textId="77777777" w:rsidR="00E9206F" w:rsidRPr="000E4B12" w:rsidRDefault="00E9206F" w:rsidP="001415B6">
            <w:pPr>
              <w:spacing w:before="40" w:after="40"/>
              <w:jc w:val="center"/>
              <w:rPr>
                <w:b/>
                <w:bCs/>
                <w:lang w:val="en-GB" w:eastAsia="zh-CN"/>
              </w:rPr>
            </w:pPr>
            <w:r w:rsidRPr="000E4B12">
              <w:rPr>
                <w:b/>
                <w:bCs/>
                <w:lang w:val="en-GB" w:eastAsia="zh-CN"/>
              </w:rPr>
              <w:t>20</w:t>
            </w:r>
          </w:p>
        </w:tc>
        <w:tc>
          <w:tcPr>
            <w:tcW w:w="1016" w:type="dxa"/>
            <w:tcBorders>
              <w:top w:val="double" w:sz="4" w:space="0" w:color="auto"/>
              <w:left w:val="single" w:sz="4" w:space="0" w:color="auto"/>
              <w:bottom w:val="single" w:sz="4" w:space="0" w:color="auto"/>
              <w:right w:val="single" w:sz="4" w:space="0" w:color="auto"/>
            </w:tcBorders>
            <w:vAlign w:val="bottom"/>
            <w:hideMark/>
          </w:tcPr>
          <w:p w14:paraId="02B1C0E7" w14:textId="77777777" w:rsidR="00E9206F" w:rsidRPr="00F91CFE" w:rsidRDefault="00E9206F" w:rsidP="001415B6">
            <w:pPr>
              <w:rPr>
                <w:rFonts w:ascii="Calibri" w:eastAsia="Calibri" w:hAnsi="Calibri" w:cs="Arial"/>
                <w:color w:val="FF0000"/>
              </w:rPr>
            </w:pPr>
          </w:p>
        </w:tc>
        <w:tc>
          <w:tcPr>
            <w:tcW w:w="1016" w:type="dxa"/>
            <w:tcBorders>
              <w:top w:val="double" w:sz="4" w:space="0" w:color="auto"/>
              <w:left w:val="single" w:sz="4" w:space="0" w:color="auto"/>
              <w:bottom w:val="single" w:sz="4" w:space="0" w:color="auto"/>
              <w:right w:val="single" w:sz="4" w:space="0" w:color="auto"/>
            </w:tcBorders>
            <w:vAlign w:val="bottom"/>
            <w:hideMark/>
          </w:tcPr>
          <w:p w14:paraId="7842045A" w14:textId="77777777" w:rsidR="00E9206F" w:rsidRPr="00F91CFE" w:rsidRDefault="00E9206F" w:rsidP="001415B6">
            <w:pPr>
              <w:rPr>
                <w:rFonts w:ascii="Calibri" w:eastAsia="Calibri" w:hAnsi="Calibri" w:cs="Arial"/>
                <w:color w:val="FF0000"/>
              </w:rPr>
            </w:pPr>
          </w:p>
        </w:tc>
      </w:tr>
      <w:tr w:rsidR="00E9206F" w:rsidRPr="000E4B12" w14:paraId="468C2659"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080AE448" w14:textId="77777777" w:rsidR="00E9206F" w:rsidRPr="000E4B12" w:rsidRDefault="00E9206F" w:rsidP="001415B6">
            <w:pPr>
              <w:spacing w:before="40" w:after="40"/>
              <w:jc w:val="center"/>
              <w:rPr>
                <w:lang w:eastAsia="zh-CN"/>
              </w:rPr>
            </w:pPr>
            <w:r>
              <w:rPr>
                <w:lang w:eastAsia="zh-CN"/>
              </w:rPr>
              <w:t xml:space="preserve">BD </w:t>
            </w:r>
            <w:r w:rsidRPr="000E4B12">
              <w:rPr>
                <w:lang w:eastAsia="zh-CN"/>
              </w:rPr>
              <w:t>Estimate</w:t>
            </w:r>
          </w:p>
        </w:tc>
        <w:tc>
          <w:tcPr>
            <w:tcW w:w="1015" w:type="dxa"/>
            <w:tcBorders>
              <w:top w:val="single" w:sz="4" w:space="0" w:color="auto"/>
              <w:left w:val="double" w:sz="4" w:space="0" w:color="auto"/>
              <w:bottom w:val="single" w:sz="4" w:space="0" w:color="auto"/>
              <w:right w:val="single" w:sz="4" w:space="0" w:color="auto"/>
            </w:tcBorders>
            <w:vAlign w:val="bottom"/>
            <w:hideMark/>
          </w:tcPr>
          <w:p w14:paraId="24E44F76" w14:textId="77777777" w:rsidR="00E9206F" w:rsidRPr="000E4B12" w:rsidRDefault="00E9206F" w:rsidP="001415B6">
            <w:pPr>
              <w:spacing w:before="40" w:after="40"/>
              <w:jc w:val="center"/>
              <w:rPr>
                <w:lang w:val="en-GB" w:eastAsia="zh-CN"/>
              </w:rPr>
            </w:pPr>
            <w:r w:rsidRPr="000E4B12">
              <w:rPr>
                <w:lang w:val="en-GB" w:eastAsia="zh-CN"/>
              </w:rPr>
              <w:t>44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5C92946" w14:textId="77777777" w:rsidR="00E9206F" w:rsidRPr="000E4B12" w:rsidRDefault="00E9206F" w:rsidP="001415B6">
            <w:pPr>
              <w:spacing w:before="40" w:after="40"/>
              <w:jc w:val="center"/>
              <w:rPr>
                <w:lang w:val="en-GB" w:eastAsia="zh-CN"/>
              </w:rPr>
            </w:pPr>
            <w:r w:rsidRPr="000E4B12">
              <w:rPr>
                <w:lang w:val="en-GB" w:eastAsia="zh-CN"/>
              </w:rPr>
              <w:t>34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141403D" w14:textId="77777777" w:rsidR="00E9206F" w:rsidRPr="000E4B12" w:rsidRDefault="00E9206F" w:rsidP="001415B6">
            <w:pPr>
              <w:spacing w:before="40" w:after="40"/>
              <w:jc w:val="center"/>
              <w:rPr>
                <w:lang w:val="en-GB" w:eastAsia="zh-CN"/>
              </w:rPr>
            </w:pPr>
            <w:r w:rsidRPr="000E4B12">
              <w:rPr>
                <w:lang w:val="en-GB" w:eastAsia="zh-CN"/>
              </w:rPr>
              <w:t>26</w:t>
            </w:r>
          </w:p>
        </w:tc>
        <w:tc>
          <w:tcPr>
            <w:tcW w:w="1015" w:type="dxa"/>
            <w:tcBorders>
              <w:top w:val="single" w:sz="4" w:space="0" w:color="auto"/>
              <w:left w:val="single" w:sz="4" w:space="0" w:color="auto"/>
              <w:bottom w:val="single" w:sz="4" w:space="0" w:color="auto"/>
              <w:right w:val="single" w:sz="4" w:space="0" w:color="auto"/>
            </w:tcBorders>
            <w:vAlign w:val="bottom"/>
            <w:hideMark/>
          </w:tcPr>
          <w:p w14:paraId="6F4A4DE2" w14:textId="77777777" w:rsidR="00E9206F" w:rsidRPr="000E4B12" w:rsidRDefault="00E9206F" w:rsidP="001415B6">
            <w:pPr>
              <w:spacing w:before="40" w:after="40"/>
              <w:jc w:val="center"/>
              <w:rPr>
                <w:lang w:val="en-GB" w:eastAsia="zh-CN"/>
              </w:rPr>
            </w:pPr>
            <w:r w:rsidRPr="000E4B12">
              <w:rPr>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09ABC55" w14:textId="77777777" w:rsidR="00E9206F" w:rsidRPr="00F91CFE" w:rsidRDefault="00E9206F" w:rsidP="001415B6">
            <w:pPr>
              <w:spacing w:before="40" w:after="40"/>
              <w:jc w:val="center"/>
              <w:rPr>
                <w:color w:val="FF0000"/>
                <w:lang w:val="en-GB" w:eastAsia="zh-CN"/>
              </w:rPr>
            </w:pPr>
            <w:r w:rsidRPr="00F91CFE">
              <w:rPr>
                <w:color w:val="FF0000"/>
                <w:lang w:val="en-GB" w:eastAsia="zh-CN"/>
              </w:rPr>
              <w:t>12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B37CBA5" w14:textId="77777777" w:rsidR="00E9206F" w:rsidRPr="00F91CFE" w:rsidRDefault="00E9206F" w:rsidP="001415B6">
            <w:pPr>
              <w:spacing w:before="40" w:after="40"/>
              <w:jc w:val="center"/>
              <w:rPr>
                <w:color w:val="FF0000"/>
                <w:lang w:val="en-GB" w:eastAsia="zh-CN"/>
              </w:rPr>
            </w:pPr>
            <w:r w:rsidRPr="00F91CFE">
              <w:rPr>
                <w:color w:val="FF0000"/>
                <w:lang w:val="en-GB" w:eastAsia="zh-CN"/>
              </w:rPr>
              <w:t>9</w:t>
            </w:r>
          </w:p>
        </w:tc>
      </w:tr>
      <w:tr w:rsidR="00E9206F" w:rsidRPr="000E4B12" w14:paraId="427B4618" w14:textId="77777777" w:rsidTr="001415B6">
        <w:trPr>
          <w:trHeight w:val="52"/>
        </w:trPr>
        <w:tc>
          <w:tcPr>
            <w:tcW w:w="1530" w:type="dxa"/>
            <w:tcBorders>
              <w:top w:val="single" w:sz="4" w:space="0" w:color="auto"/>
            </w:tcBorders>
            <w:vAlign w:val="center"/>
          </w:tcPr>
          <w:p w14:paraId="09A80106" w14:textId="77777777" w:rsidR="00E9206F" w:rsidRPr="000E4B12" w:rsidRDefault="00E9206F" w:rsidP="001415B6">
            <w:pPr>
              <w:spacing w:before="40" w:after="40"/>
              <w:jc w:val="center"/>
              <w:rPr>
                <w:sz w:val="4"/>
                <w:szCs w:val="4"/>
                <w:lang w:eastAsia="zh-CN"/>
              </w:rPr>
            </w:pPr>
          </w:p>
        </w:tc>
        <w:tc>
          <w:tcPr>
            <w:tcW w:w="1015" w:type="dxa"/>
            <w:vAlign w:val="bottom"/>
          </w:tcPr>
          <w:p w14:paraId="0D3BEABF" w14:textId="77777777" w:rsidR="00E9206F" w:rsidRPr="000E4B12" w:rsidRDefault="00E9206F" w:rsidP="001415B6">
            <w:pPr>
              <w:spacing w:before="40" w:after="40"/>
              <w:jc w:val="center"/>
              <w:rPr>
                <w:sz w:val="4"/>
                <w:szCs w:val="4"/>
                <w:lang w:val="en-GB" w:eastAsia="zh-CN"/>
              </w:rPr>
            </w:pPr>
          </w:p>
        </w:tc>
        <w:tc>
          <w:tcPr>
            <w:tcW w:w="1016" w:type="dxa"/>
            <w:vAlign w:val="bottom"/>
          </w:tcPr>
          <w:p w14:paraId="4EA95144" w14:textId="77777777" w:rsidR="00E9206F" w:rsidRPr="000E4B12" w:rsidRDefault="00E9206F" w:rsidP="001415B6">
            <w:pPr>
              <w:spacing w:before="40" w:after="40"/>
              <w:jc w:val="center"/>
              <w:rPr>
                <w:sz w:val="4"/>
                <w:szCs w:val="4"/>
                <w:lang w:val="en-GB" w:eastAsia="zh-CN"/>
              </w:rPr>
            </w:pPr>
          </w:p>
        </w:tc>
        <w:tc>
          <w:tcPr>
            <w:tcW w:w="1016" w:type="dxa"/>
            <w:vAlign w:val="bottom"/>
          </w:tcPr>
          <w:p w14:paraId="509F7A2A" w14:textId="77777777" w:rsidR="00E9206F" w:rsidRPr="000E4B12" w:rsidRDefault="00E9206F" w:rsidP="001415B6">
            <w:pPr>
              <w:spacing w:before="40" w:after="40"/>
              <w:jc w:val="center"/>
              <w:rPr>
                <w:sz w:val="4"/>
                <w:szCs w:val="4"/>
                <w:lang w:val="en-GB" w:eastAsia="zh-CN"/>
              </w:rPr>
            </w:pPr>
          </w:p>
        </w:tc>
        <w:tc>
          <w:tcPr>
            <w:tcW w:w="1015" w:type="dxa"/>
            <w:vAlign w:val="bottom"/>
          </w:tcPr>
          <w:p w14:paraId="111E7CA5" w14:textId="77777777" w:rsidR="00E9206F" w:rsidRPr="000E4B12" w:rsidRDefault="00E9206F" w:rsidP="001415B6">
            <w:pPr>
              <w:spacing w:before="40" w:after="40"/>
              <w:jc w:val="center"/>
              <w:rPr>
                <w:sz w:val="4"/>
                <w:szCs w:val="4"/>
                <w:lang w:val="en-GB" w:eastAsia="zh-CN"/>
              </w:rPr>
            </w:pPr>
          </w:p>
        </w:tc>
        <w:tc>
          <w:tcPr>
            <w:tcW w:w="1016" w:type="dxa"/>
            <w:vAlign w:val="bottom"/>
          </w:tcPr>
          <w:p w14:paraId="59A0822F" w14:textId="77777777" w:rsidR="00E9206F" w:rsidRPr="000E4B12" w:rsidRDefault="00E9206F" w:rsidP="001415B6">
            <w:pPr>
              <w:spacing w:before="40" w:after="40"/>
              <w:jc w:val="center"/>
              <w:rPr>
                <w:sz w:val="4"/>
                <w:szCs w:val="4"/>
                <w:lang w:val="en-GB" w:eastAsia="zh-CN"/>
              </w:rPr>
            </w:pPr>
          </w:p>
        </w:tc>
        <w:tc>
          <w:tcPr>
            <w:tcW w:w="1016" w:type="dxa"/>
            <w:vAlign w:val="bottom"/>
          </w:tcPr>
          <w:p w14:paraId="7DAF2069" w14:textId="77777777" w:rsidR="00E9206F" w:rsidRPr="000E4B12" w:rsidRDefault="00E9206F" w:rsidP="001415B6">
            <w:pPr>
              <w:spacing w:before="40" w:after="40"/>
              <w:jc w:val="center"/>
              <w:rPr>
                <w:sz w:val="4"/>
                <w:szCs w:val="4"/>
                <w:lang w:val="en-GB" w:eastAsia="zh-CN"/>
              </w:rPr>
            </w:pPr>
          </w:p>
        </w:tc>
      </w:tr>
      <w:tr w:rsidR="00E9206F" w:rsidRPr="000E4B12" w14:paraId="2E0AF9CD" w14:textId="77777777" w:rsidTr="001415B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0E3CDA91" w14:textId="77777777" w:rsidR="00E9206F" w:rsidRPr="000E4B12" w:rsidRDefault="00E9206F" w:rsidP="001415B6">
            <w:pPr>
              <w:spacing w:before="40" w:after="40"/>
              <w:jc w:val="center"/>
              <w:rPr>
                <w:lang w:eastAsia="zh-CN"/>
              </w:rPr>
            </w:pPr>
            <w:r w:rsidRPr="000E4B12">
              <w:rPr>
                <w:lang w:eastAsia="zh-CN"/>
              </w:rPr>
              <w:t>SCS [kHz]</w:t>
            </w:r>
          </w:p>
        </w:tc>
        <w:tc>
          <w:tcPr>
            <w:tcW w:w="2031" w:type="dxa"/>
            <w:gridSpan w:val="2"/>
            <w:tcBorders>
              <w:top w:val="single" w:sz="4" w:space="0" w:color="auto"/>
              <w:left w:val="double" w:sz="4" w:space="0" w:color="auto"/>
              <w:bottom w:val="double" w:sz="4" w:space="0" w:color="auto"/>
              <w:right w:val="single" w:sz="4" w:space="0" w:color="auto"/>
            </w:tcBorders>
            <w:vAlign w:val="center"/>
            <w:hideMark/>
          </w:tcPr>
          <w:p w14:paraId="4F99A9F7" w14:textId="77777777" w:rsidR="00E9206F" w:rsidRPr="000E4B12" w:rsidRDefault="00E9206F" w:rsidP="001415B6">
            <w:pPr>
              <w:spacing w:before="40" w:after="40"/>
              <w:jc w:val="center"/>
              <w:rPr>
                <w:lang w:val="en-GB" w:eastAsia="zh-CN"/>
              </w:rPr>
            </w:pPr>
            <w:r w:rsidRPr="000E4B12">
              <w:rPr>
                <w:lang w:val="en-GB" w:eastAsia="zh-CN"/>
              </w:rPr>
              <w:t>15*2</w:t>
            </w:r>
            <w:r w:rsidRPr="000E4B12">
              <w:rPr>
                <w:vertAlign w:val="superscript"/>
                <w:lang w:val="en-GB" w:eastAsia="zh-CN"/>
              </w:rPr>
              <w:t>0.5</w:t>
            </w:r>
            <w:r>
              <w:rPr>
                <w:lang w:val="en-GB" w:eastAsia="zh-CN"/>
              </w:rPr>
              <w:t xml:space="preserve"> (Nominal, used for fitting)</w:t>
            </w:r>
          </w:p>
        </w:tc>
        <w:tc>
          <w:tcPr>
            <w:tcW w:w="1016" w:type="dxa"/>
            <w:tcBorders>
              <w:top w:val="single" w:sz="4" w:space="0" w:color="auto"/>
              <w:left w:val="single" w:sz="4" w:space="0" w:color="auto"/>
              <w:bottom w:val="double" w:sz="4" w:space="0" w:color="auto"/>
              <w:right w:val="single" w:sz="4" w:space="0" w:color="auto"/>
            </w:tcBorders>
            <w:vAlign w:val="center"/>
            <w:hideMark/>
          </w:tcPr>
          <w:p w14:paraId="551A58E6" w14:textId="77777777" w:rsidR="00E9206F" w:rsidRPr="000E4B12" w:rsidRDefault="00E9206F" w:rsidP="001415B6">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6ED1462B" w14:textId="77777777" w:rsidR="00E9206F" w:rsidRPr="000E4B12" w:rsidRDefault="00E9206F" w:rsidP="001415B6">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D7DDEEC" w14:textId="77777777" w:rsidR="00E9206F" w:rsidRPr="00F91CFE" w:rsidRDefault="00E9206F" w:rsidP="001415B6">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10DDF4F4" w14:textId="77777777" w:rsidR="00E9206F" w:rsidRPr="00F91CFE" w:rsidRDefault="00E9206F" w:rsidP="001415B6">
            <w:pPr>
              <w:spacing w:before="40" w:after="40"/>
              <w:jc w:val="center"/>
              <w:rPr>
                <w:color w:val="FF0000"/>
                <w:lang w:val="en-GB" w:eastAsia="zh-CN"/>
              </w:rPr>
            </w:pPr>
            <w:r w:rsidRPr="00F91CFE">
              <w:rPr>
                <w:color w:val="FF0000"/>
                <w:lang w:val="en-GB" w:eastAsia="zh-CN"/>
              </w:rPr>
              <w:t>960</w:t>
            </w:r>
          </w:p>
        </w:tc>
      </w:tr>
      <w:tr w:rsidR="00E9206F" w:rsidRPr="000E4B12" w14:paraId="17D70B4B"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761DFA0C" w14:textId="77777777" w:rsidR="00E9206F" w:rsidRPr="000E4B12" w:rsidRDefault="002F6D4B" w:rsidP="001415B6">
            <w:pPr>
              <w:spacing w:before="40" w:after="40"/>
              <w:jc w:val="center"/>
              <w:rPr>
                <w:lang w:val="de-DE" w:eastAsia="zh-CN"/>
              </w:rPr>
            </w:pPr>
            <m:oMathPara>
              <m:oMath>
                <m:sSubSup>
                  <m:sSubSupPr>
                    <m:ctrlPr>
                      <w:rPr>
                        <w:rFonts w:ascii="Cambria Math" w:hAnsi="Cambria Math"/>
                        <w:i/>
                        <w:iCs/>
                        <w:lang w:eastAsia="zh-CN"/>
                      </w:rPr>
                    </m:ctrlPr>
                  </m:sSubSupPr>
                  <m:e>
                    <m:r>
                      <w:rPr>
                        <w:rFonts w:ascii="Cambria Math" w:hAnsi="Cambria Math"/>
                        <w:lang w:val="de-DE" w:eastAsia="zh-CN"/>
                      </w:rPr>
                      <m:t>N</m:t>
                    </m:r>
                  </m:e>
                  <m:sub>
                    <m:r>
                      <m:rPr>
                        <m:sty m:val="p"/>
                      </m:rPr>
                      <w:rPr>
                        <w:rFonts w:ascii="Cambria Math" w:hAnsi="Cambria Math"/>
                        <w:lang w:val="de-DE" w:eastAsia="zh-CN"/>
                      </w:rPr>
                      <m:t>CCE,μ</m:t>
                    </m:r>
                  </m:sub>
                  <m:sup>
                    <m:r>
                      <m:rPr>
                        <m:sty m:val="p"/>
                      </m:rPr>
                      <w:rPr>
                        <w:rFonts w:ascii="Cambria Math" w:hAnsi="Cambria Math"/>
                        <w:lang w:val="de-DE" w:eastAsia="zh-CN"/>
                      </w:rPr>
                      <m:t>slot</m:t>
                    </m:r>
                  </m:sup>
                </m:sSubSup>
              </m:oMath>
            </m:oMathPara>
          </w:p>
        </w:tc>
        <w:tc>
          <w:tcPr>
            <w:tcW w:w="2031" w:type="dxa"/>
            <w:gridSpan w:val="2"/>
            <w:tcBorders>
              <w:top w:val="single" w:sz="4" w:space="0" w:color="auto"/>
              <w:left w:val="double" w:sz="4" w:space="0" w:color="auto"/>
              <w:bottom w:val="single" w:sz="4" w:space="0" w:color="auto"/>
              <w:right w:val="single" w:sz="4" w:space="0" w:color="auto"/>
            </w:tcBorders>
            <w:vAlign w:val="center"/>
            <w:hideMark/>
          </w:tcPr>
          <w:p w14:paraId="770E909F" w14:textId="77777777" w:rsidR="00E9206F" w:rsidRPr="000E4B12" w:rsidRDefault="00E9206F" w:rsidP="001415B6">
            <w:pPr>
              <w:spacing w:before="40" w:after="40"/>
              <w:jc w:val="center"/>
              <w:rPr>
                <w:b/>
                <w:bCs/>
                <w:lang w:val="en-GB" w:eastAsia="zh-CN"/>
              </w:rPr>
            </w:pPr>
            <w:r w:rsidRPr="000E4B12">
              <w:rPr>
                <w:b/>
                <w:bCs/>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04CF241E" w14:textId="77777777" w:rsidR="00E9206F" w:rsidRPr="000E4B12" w:rsidRDefault="00E9206F" w:rsidP="001415B6">
            <w:pPr>
              <w:spacing w:before="40" w:after="40"/>
              <w:jc w:val="center"/>
              <w:rPr>
                <w:b/>
                <w:bCs/>
                <w:lang w:val="en-GB" w:eastAsia="zh-CN"/>
              </w:rPr>
            </w:pPr>
            <w:r w:rsidRPr="000E4B12">
              <w:rPr>
                <w:b/>
                <w:bCs/>
                <w:lang w:val="en-GB" w:eastAsia="zh-CN"/>
              </w:rPr>
              <w:t>48</w:t>
            </w:r>
          </w:p>
        </w:tc>
        <w:tc>
          <w:tcPr>
            <w:tcW w:w="1015" w:type="dxa"/>
            <w:tcBorders>
              <w:top w:val="single" w:sz="4" w:space="0" w:color="auto"/>
              <w:left w:val="single" w:sz="4" w:space="0" w:color="auto"/>
              <w:bottom w:val="single" w:sz="4" w:space="0" w:color="auto"/>
              <w:right w:val="single" w:sz="4" w:space="0" w:color="auto"/>
            </w:tcBorders>
            <w:vAlign w:val="bottom"/>
            <w:hideMark/>
          </w:tcPr>
          <w:p w14:paraId="19A94C39" w14:textId="77777777" w:rsidR="00E9206F" w:rsidRPr="000E4B12" w:rsidRDefault="00E9206F" w:rsidP="001415B6">
            <w:pPr>
              <w:spacing w:before="40" w:after="40"/>
              <w:jc w:val="center"/>
              <w:rPr>
                <w:b/>
                <w:bCs/>
                <w:lang w:val="en-GB" w:eastAsia="zh-CN"/>
              </w:rPr>
            </w:pPr>
            <w:r w:rsidRPr="000E4B12">
              <w:rPr>
                <w:b/>
                <w:bCs/>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tcPr>
          <w:p w14:paraId="0EDDD876" w14:textId="77777777" w:rsidR="00E9206F" w:rsidRPr="00F91CFE" w:rsidRDefault="00E9206F" w:rsidP="001415B6">
            <w:pPr>
              <w:spacing w:before="40" w:after="40"/>
              <w:jc w:val="center"/>
              <w:rPr>
                <w:color w:val="FF0000"/>
                <w:lang w:val="en-GB" w:eastAsia="zh-CN"/>
              </w:rPr>
            </w:pPr>
          </w:p>
        </w:tc>
        <w:tc>
          <w:tcPr>
            <w:tcW w:w="1016" w:type="dxa"/>
            <w:tcBorders>
              <w:top w:val="single" w:sz="4" w:space="0" w:color="auto"/>
              <w:left w:val="single" w:sz="4" w:space="0" w:color="auto"/>
              <w:bottom w:val="single" w:sz="4" w:space="0" w:color="auto"/>
              <w:right w:val="single" w:sz="4" w:space="0" w:color="auto"/>
            </w:tcBorders>
            <w:vAlign w:val="bottom"/>
          </w:tcPr>
          <w:p w14:paraId="6FC5F1B8" w14:textId="77777777" w:rsidR="00E9206F" w:rsidRPr="00F91CFE" w:rsidRDefault="00E9206F" w:rsidP="001415B6">
            <w:pPr>
              <w:spacing w:before="40" w:after="40"/>
              <w:jc w:val="center"/>
              <w:rPr>
                <w:color w:val="FF0000"/>
                <w:lang w:val="en-GB" w:eastAsia="zh-CN"/>
              </w:rPr>
            </w:pPr>
          </w:p>
        </w:tc>
      </w:tr>
      <w:tr w:rsidR="00E9206F" w:rsidRPr="000E4B12" w14:paraId="61ACE726"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2FD90201" w14:textId="77777777" w:rsidR="00E9206F" w:rsidRPr="000E4B12" w:rsidRDefault="00E9206F" w:rsidP="001415B6">
            <w:pPr>
              <w:spacing w:before="40" w:after="40"/>
              <w:jc w:val="center"/>
              <w:rPr>
                <w:i/>
                <w:color w:val="000000"/>
                <w:lang w:val="en-GB" w:eastAsia="zh-CN"/>
              </w:rPr>
            </w:pPr>
            <w:r>
              <w:rPr>
                <w:lang w:eastAsia="zh-CN"/>
              </w:rPr>
              <w:lastRenderedPageBreak/>
              <w:t xml:space="preserve">CCE </w:t>
            </w:r>
            <w:r w:rsidRPr="000E4B12">
              <w:rPr>
                <w:lang w:eastAsia="zh-CN"/>
              </w:rPr>
              <w:t>Estimate</w:t>
            </w:r>
          </w:p>
        </w:tc>
        <w:tc>
          <w:tcPr>
            <w:tcW w:w="2031" w:type="dxa"/>
            <w:gridSpan w:val="2"/>
            <w:tcBorders>
              <w:top w:val="single" w:sz="4" w:space="0" w:color="auto"/>
              <w:left w:val="double" w:sz="4" w:space="0" w:color="auto"/>
              <w:bottom w:val="single" w:sz="4" w:space="0" w:color="auto"/>
              <w:right w:val="single" w:sz="4" w:space="0" w:color="auto"/>
            </w:tcBorders>
            <w:vAlign w:val="bottom"/>
            <w:hideMark/>
          </w:tcPr>
          <w:p w14:paraId="332EBE53" w14:textId="77777777" w:rsidR="00E9206F" w:rsidRPr="000E4B12" w:rsidRDefault="00E9206F" w:rsidP="001415B6">
            <w:pPr>
              <w:spacing w:before="40" w:after="40"/>
              <w:jc w:val="center"/>
              <w:rPr>
                <w:lang w:val="en-GB" w:eastAsia="zh-CN"/>
              </w:rPr>
            </w:pPr>
            <w:r w:rsidRPr="000E4B12">
              <w:rPr>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23484774" w14:textId="77777777" w:rsidR="00E9206F" w:rsidRPr="000E4B12" w:rsidRDefault="00E9206F" w:rsidP="001415B6">
            <w:pPr>
              <w:spacing w:before="40" w:after="40"/>
              <w:jc w:val="center"/>
              <w:rPr>
                <w:lang w:val="en-GB" w:eastAsia="zh-CN"/>
              </w:rPr>
            </w:pPr>
            <w:r w:rsidRPr="000E4B12">
              <w:rPr>
                <w:lang w:val="en-GB" w:eastAsia="zh-CN"/>
              </w:rPr>
              <w:t>40</w:t>
            </w:r>
          </w:p>
        </w:tc>
        <w:tc>
          <w:tcPr>
            <w:tcW w:w="1015" w:type="dxa"/>
            <w:tcBorders>
              <w:top w:val="single" w:sz="4" w:space="0" w:color="auto"/>
              <w:left w:val="single" w:sz="4" w:space="0" w:color="auto"/>
              <w:bottom w:val="single" w:sz="4" w:space="0" w:color="auto"/>
              <w:right w:val="single" w:sz="4" w:space="0" w:color="auto"/>
            </w:tcBorders>
            <w:vAlign w:val="bottom"/>
            <w:hideMark/>
          </w:tcPr>
          <w:p w14:paraId="26E9E3B1" w14:textId="77777777" w:rsidR="00E9206F" w:rsidRPr="000E4B12" w:rsidRDefault="00E9206F" w:rsidP="001415B6">
            <w:pPr>
              <w:spacing w:before="40" w:after="40"/>
              <w:jc w:val="center"/>
              <w:rPr>
                <w:lang w:val="en-GB" w:eastAsia="zh-CN"/>
              </w:rPr>
            </w:pPr>
            <w:r w:rsidRPr="000E4B12">
              <w:rPr>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5D0B9C4" w14:textId="77777777" w:rsidR="00E9206F" w:rsidRPr="00F91CFE" w:rsidRDefault="00E9206F" w:rsidP="001415B6">
            <w:pPr>
              <w:spacing w:before="40" w:after="40"/>
              <w:jc w:val="center"/>
              <w:rPr>
                <w:color w:val="FF0000"/>
                <w:lang w:val="en-GB" w:eastAsia="zh-CN"/>
              </w:rPr>
            </w:pPr>
            <w:r w:rsidRPr="00F91CFE">
              <w:rPr>
                <w:color w:val="FF0000"/>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3738472" w14:textId="77777777" w:rsidR="00E9206F" w:rsidRPr="00F91CFE" w:rsidRDefault="00E9206F" w:rsidP="001415B6">
            <w:pPr>
              <w:spacing w:before="40" w:after="40"/>
              <w:jc w:val="center"/>
              <w:rPr>
                <w:color w:val="FF0000"/>
                <w:lang w:val="en-GB" w:eastAsia="zh-CN"/>
              </w:rPr>
            </w:pPr>
            <w:r w:rsidRPr="00F91CFE">
              <w:rPr>
                <w:color w:val="FF0000"/>
                <w:lang w:val="en-GB" w:eastAsia="zh-CN"/>
              </w:rPr>
              <w:t>16</w:t>
            </w:r>
          </w:p>
        </w:tc>
      </w:tr>
    </w:tbl>
    <w:p w14:paraId="4C9354DA" w14:textId="77777777" w:rsidR="007C10DC" w:rsidRDefault="007C10DC" w:rsidP="00591A94">
      <w:pPr>
        <w:pStyle w:val="BodyText"/>
      </w:pPr>
    </w:p>
    <w:p w14:paraId="472CD129" w14:textId="0A5985BA" w:rsidR="00827AE2" w:rsidRDefault="00827AE2" w:rsidP="00827AE2">
      <w:pPr>
        <w:pStyle w:val="Heading3"/>
      </w:pPr>
      <w:bookmarkStart w:id="45" w:name="_Toc67653046"/>
      <w:r>
        <w:t>2.</w:t>
      </w:r>
      <w:r w:rsidR="006145CD">
        <w:t>4</w:t>
      </w:r>
      <w:r>
        <w:t>.</w:t>
      </w:r>
      <w:r w:rsidR="008B04EA">
        <w:t>2</w:t>
      </w:r>
      <w:r>
        <w:tab/>
        <w:t>Multi-slot PDCCH processing capabilities for 480/960 kHz SCS</w:t>
      </w:r>
      <w:bookmarkEnd w:id="45"/>
      <w:r w:rsidR="00AB5B0E" w:rsidRPr="00AB5B0E">
        <w:t xml:space="preserve"> </w:t>
      </w:r>
      <w:r w:rsidR="00AB5B0E">
        <w:t>for MBB applications</w:t>
      </w:r>
    </w:p>
    <w:p w14:paraId="509D740A" w14:textId="661C55D6" w:rsidR="00E20643" w:rsidRDefault="00E20643" w:rsidP="00E20643">
      <w:pPr>
        <w:pStyle w:val="BodyText"/>
      </w:pPr>
      <w:r>
        <w:t>In this section, we discuss two possible solutions to define bundled UE PDCCH processing capabilities when PDCCH monitoring per multiple slots is deployed.</w:t>
      </w:r>
    </w:p>
    <w:p w14:paraId="3C0C806B" w14:textId="02348157" w:rsidR="00290688" w:rsidRPr="000E4B12" w:rsidRDefault="00290688" w:rsidP="00290688">
      <w:pPr>
        <w:pStyle w:val="BodyText"/>
      </w:pPr>
      <w:r>
        <w:t xml:space="preserve">The potential reduction of </w:t>
      </w:r>
      <w:r w:rsidRPr="000E4B12">
        <w:t xml:space="preserve">UE PDCCH processing capabilities </w:t>
      </w:r>
      <w:r w:rsidRPr="004F69A1">
        <w:rPr>
          <w:u w:val="single"/>
        </w:rPr>
        <w:t>per slot</w:t>
      </w:r>
      <w:r>
        <w:t xml:space="preserve"> shown previously presents difficulties to maintain the same scheduling framework and flexibility as Rel-15 NR. It would impose substantial negative impacts to Rel-17 NR operation in 52.6 – 71 GHz if the </w:t>
      </w:r>
      <w:r w:rsidRPr="000E4B12">
        <w:t xml:space="preserve">UE PDCCH processing capabilities </w:t>
      </w:r>
      <w:r w:rsidRPr="00D7654C">
        <w:rPr>
          <w:u w:val="single"/>
        </w:rPr>
        <w:t xml:space="preserve">per </w:t>
      </w:r>
      <w:r>
        <w:rPr>
          <w:u w:val="single"/>
        </w:rPr>
        <w:t>multi-</w:t>
      </w:r>
      <w:r w:rsidRPr="00D7654C">
        <w:rPr>
          <w:u w:val="single"/>
        </w:rPr>
        <w:t>slot</w:t>
      </w:r>
      <w:r>
        <w:rPr>
          <w:u w:val="single"/>
        </w:rPr>
        <w:t xml:space="preserve"> </w:t>
      </w:r>
      <w:r w:rsidRPr="004F69A1">
        <w:t xml:space="preserve">monitoring period </w:t>
      </w:r>
      <w:r>
        <w:t xml:space="preserve">remain as restrictive when the UE is configured to monitor the PDCCH every </w:t>
      </w:r>
      <m:oMath>
        <m:r>
          <w:rPr>
            <w:rFonts w:ascii="Cambria Math" w:hAnsi="Cambria Math"/>
          </w:rPr>
          <m:t>X</m:t>
        </m:r>
      </m:oMath>
      <w:r>
        <w:t xml:space="preserve"> slots. Therefore, it will be beneficial for NR operation in 52.6 – 71 GHz to scale </w:t>
      </w:r>
      <w:r w:rsidRPr="000E4B12">
        <w:t>UE PDCCH processing capabilities</w:t>
      </w:r>
      <w:r>
        <w:t xml:space="preserve"> </w:t>
      </w:r>
      <w:r w:rsidRPr="004F69A1">
        <w:t xml:space="preserve">per </w:t>
      </w:r>
      <m:oMath>
        <m:r>
          <w:rPr>
            <w:rFonts w:ascii="Cambria Math" w:hAnsi="Cambria Math"/>
          </w:rPr>
          <m:t>X</m:t>
        </m:r>
      </m:oMath>
      <w:r>
        <w:rPr>
          <w:rFonts w:eastAsiaTheme="minorEastAsia"/>
        </w:rPr>
        <w:t>-slots</w:t>
      </w:r>
      <w:r w:rsidRPr="00D7654C">
        <w:t xml:space="preserve"> </w:t>
      </w:r>
      <w:r>
        <w:t xml:space="preserve">with the </w:t>
      </w:r>
      <w:r w:rsidR="002D3FCF">
        <w:t>window</w:t>
      </w:r>
      <w:r>
        <w:t xml:space="preserve"> size </w:t>
      </w:r>
      <m:oMath>
        <m:r>
          <w:rPr>
            <w:rFonts w:ascii="Cambria Math" w:hAnsi="Cambria Math"/>
          </w:rPr>
          <m:t>X</m:t>
        </m:r>
      </m:oMath>
      <w:r>
        <w:t>:</w:t>
      </w:r>
    </w:p>
    <w:p w14:paraId="46A761E3" w14:textId="233535A8" w:rsidR="00290688" w:rsidRPr="006249E3" w:rsidRDefault="002F6D4B" w:rsidP="00290688">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w:rPr>
                  <w:rFonts w:ascii="Cambria Math" w:hAnsi="Cambria Math" w:cs="Times New Roman"/>
                </w:rPr>
                <m:t>X</m:t>
              </m:r>
              <m:r>
                <m:rPr>
                  <m:nor/>
                </m:rPr>
                <w:rPr>
                  <w:rFonts w:ascii="Cambria Math" w:hAnsi="Cambria Math" w:cs="Times New Roman"/>
                </w:rPr>
                <m:t>-</m:t>
              </m:r>
              <m:r>
                <m:rPr>
                  <m:sty m:val="p"/>
                </m:rPr>
                <w:rPr>
                  <w:rFonts w:ascii="Cambria Math" w:hAnsi="Cambria Math"/>
                </w:rPr>
                <m:t>slot</m:t>
              </m:r>
            </m:sup>
          </m:sSubSup>
          <m:r>
            <w:rPr>
              <w:rFonts w:ascii="Cambria Math" w:hAnsi="Cambria Math"/>
            </w:rPr>
            <m:t>≅X×</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m:rPr>
                  <m:sty m:val="p"/>
                </m:rPr>
                <w:rPr>
                  <w:rFonts w:ascii="Cambria Math" w:hAnsi="Cambria Math"/>
                </w:rPr>
                <m:t>slot</m:t>
              </m:r>
            </m:sup>
          </m:sSubSup>
        </m:oMath>
      </m:oMathPara>
    </w:p>
    <w:p w14:paraId="1E631337" w14:textId="1074799B" w:rsidR="00290688" w:rsidRPr="006249E3" w:rsidRDefault="002F6D4B" w:rsidP="00290688">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p"/>
                </m:rPr>
                <w:rPr>
                  <w:rFonts w:ascii="Cambria Math" w:hAnsi="Cambria Math" w:cs="Times New Roman"/>
                </w:rPr>
                <m:t>, μ</m:t>
              </m:r>
            </m:sub>
            <m:sup>
              <m:r>
                <w:rPr>
                  <w:rFonts w:ascii="Cambria Math" w:hAnsi="Cambria Math" w:cs="Times New Roman"/>
                </w:rPr>
                <m:t>X</m:t>
              </m:r>
              <m:r>
                <m:rPr>
                  <m:nor/>
                </m:rPr>
                <w:rPr>
                  <w:rFonts w:ascii="Cambria Math" w:hAnsi="Cambria Math" w:cs="Times New Roman"/>
                </w:rPr>
                <m:t>-</m:t>
              </m:r>
              <m:r>
                <m:rPr>
                  <m:sty m:val="p"/>
                </m:rPr>
                <w:rPr>
                  <w:rFonts w:ascii="Cambria Math" w:hAnsi="Cambria Math"/>
                </w:rPr>
                <m:t>slot</m:t>
              </m:r>
            </m:sup>
          </m:sSubSup>
          <m:r>
            <m:rPr>
              <m:sty m:val="p"/>
            </m:rPr>
            <w:rPr>
              <w:rFonts w:ascii="Cambria Math" w:hAnsi="Cambria Math"/>
            </w:rPr>
            <m:t>≅</m:t>
          </m:r>
          <m:r>
            <w:rPr>
              <w:rFonts w:ascii="Cambria Math" w:hAnsi="Cambria Math"/>
            </w:rPr>
            <m:t>X</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p"/>
                </m:rPr>
                <w:rPr>
                  <w:rFonts w:ascii="Cambria Math" w:hAnsi="Cambria Math" w:cs="Times New Roman"/>
                </w:rPr>
                <m:t>, μ</m:t>
              </m:r>
            </m:sub>
            <m:sup>
              <m:r>
                <m:rPr>
                  <m:sty m:val="p"/>
                </m:rPr>
                <w:rPr>
                  <w:rFonts w:ascii="Cambria Math" w:hAnsi="Cambria Math"/>
                </w:rPr>
                <m:t>slot</m:t>
              </m:r>
            </m:sup>
          </m:sSubSup>
        </m:oMath>
      </m:oMathPara>
    </w:p>
    <w:p w14:paraId="5B03ABF5" w14:textId="3D046A42" w:rsidR="00C637FF" w:rsidRDefault="00C637FF" w:rsidP="00E20643">
      <w:pPr>
        <w:pStyle w:val="BodyText"/>
      </w:pPr>
    </w:p>
    <w:p w14:paraId="127B2F02" w14:textId="59531D16" w:rsidR="007D1463" w:rsidRDefault="007D1463" w:rsidP="007D1463">
      <w:pPr>
        <w:pStyle w:val="Observation"/>
      </w:pPr>
      <w:bookmarkStart w:id="46" w:name="_Toc83990427"/>
      <w:r>
        <w:t xml:space="preserve">A first approach to define the UE PDCCH processing capabilities when PDCCH monitoring per multiple slots is deployed for larger SCS is to scale the </w:t>
      </w:r>
      <w:r w:rsidRPr="000E4B12">
        <w:t>UE PDCCH processing capabilities</w:t>
      </w:r>
      <w:r>
        <w:t xml:space="preserve"> per </w:t>
      </w:r>
      <m:oMath>
        <m:r>
          <m:rPr>
            <m:sty m:val="bi"/>
          </m:rPr>
          <w:rPr>
            <w:rFonts w:ascii="Cambria Math" w:hAnsi="Cambria Math"/>
          </w:rPr>
          <m:t>X</m:t>
        </m:r>
      </m:oMath>
      <w:r>
        <w:rPr>
          <w:rFonts w:eastAsiaTheme="minorEastAsia"/>
        </w:rPr>
        <w:t xml:space="preserve"> </w:t>
      </w:r>
      <w:r>
        <w:t xml:space="preserve">slots with the </w:t>
      </w:r>
      <w:r w:rsidR="002D3FCF">
        <w:t>window</w:t>
      </w:r>
      <w:r>
        <w:t xml:space="preserve"> size </w:t>
      </w:r>
      <m:oMath>
        <m:r>
          <m:rPr>
            <m:sty m:val="bi"/>
          </m:rPr>
          <w:rPr>
            <w:rFonts w:ascii="Cambria Math" w:hAnsi="Cambria Math"/>
          </w:rPr>
          <m:t>X</m:t>
        </m:r>
      </m:oMath>
      <w:r>
        <w:t>. That is, the bundled UE PDCCH process</w:t>
      </w:r>
      <w:proofErr w:type="spellStart"/>
      <w:r>
        <w:t>ing</w:t>
      </w:r>
      <w:proofErr w:type="spellEnd"/>
      <w:r>
        <w:t xml:space="preserve">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X</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≅X×</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X</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X</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t>.</w:t>
      </w:r>
      <w:bookmarkEnd w:id="46"/>
    </w:p>
    <w:p w14:paraId="6D6D3AF1" w14:textId="77777777" w:rsidR="007D1463" w:rsidRDefault="007D1463" w:rsidP="00E20643">
      <w:pPr>
        <w:pStyle w:val="BodyText"/>
      </w:pPr>
    </w:p>
    <w:p w14:paraId="2CCB6DE7" w14:textId="10954061" w:rsidR="00E20643" w:rsidRDefault="00E20643" w:rsidP="00E20643">
      <w:pPr>
        <w:pStyle w:val="BodyText"/>
      </w:pPr>
      <w:r>
        <w:t xml:space="preserve">With this first capability scaling solution, it is in principle possible to support any </w:t>
      </w:r>
      <w:r w:rsidR="002D3FCF">
        <w:t>window</w:t>
      </w:r>
      <w:r>
        <w:t xml:space="preserve"> size. However, it may be difficult or impractical </w:t>
      </w:r>
      <w:r w:rsidRPr="00D079BD">
        <w:t>for UE implementation to optimize the hardware and software timelines to support</w:t>
      </w:r>
      <w:r>
        <w:t xml:space="preserve"> various required UE processing capabilities associated with arbitrary flexible </w:t>
      </w:r>
      <w:r w:rsidR="002D3FCF">
        <w:t>window</w:t>
      </w:r>
      <w:r>
        <w:t xml:space="preserve"> sizes. It will be beneficial for RAN1 to narrow down the </w:t>
      </w:r>
      <w:r w:rsidR="002D3FCF">
        <w:t>window</w:t>
      </w:r>
      <w:r>
        <w:t xml:space="preserve"> size values to those beneficial to system operations such that the specs and implementation are not over-burdened.</w:t>
      </w:r>
    </w:p>
    <w:p w14:paraId="0D80BCC9" w14:textId="78BFA133" w:rsidR="00294F9D" w:rsidRDefault="00294F9D" w:rsidP="00294F9D">
      <w:pPr>
        <w:pStyle w:val="BodyText"/>
      </w:pPr>
      <w:r>
        <w:t xml:space="preserve">Toward narrowing down the supported PDCCH monitoring </w:t>
      </w:r>
      <w:r w:rsidR="002D3FCF">
        <w:t>window</w:t>
      </w:r>
      <w:r>
        <w:t xml:space="preserve"> values, a second possible solution is to maintain the same </w:t>
      </w:r>
      <w:r w:rsidRPr="00801782">
        <w:t>scheduling framework</w:t>
      </w:r>
      <w:r>
        <w:t xml:space="preserve"> and capacity as a 120 kHz SCS system for larger SCS with PDCCH monitoring per multiple slots. For instance, PDCCH monitoring every </w:t>
      </w:r>
      <m:oMath>
        <m:r>
          <w:rPr>
            <w:rFonts w:ascii="Cambria Math" w:hAnsi="Cambria Math"/>
          </w:rPr>
          <m:t>X=4</m:t>
        </m:r>
      </m:oMath>
      <w:r>
        <w:rPr>
          <w:rFonts w:eastAsiaTheme="minorEastAsia"/>
        </w:rPr>
        <w:t xml:space="preserve"> slots can be deployed for 480 kHz SCS. The UE</w:t>
      </w:r>
      <w:r w:rsidRPr="000E4B12">
        <w:t xml:space="preserve"> PDCCH processing capabilities</w:t>
      </w:r>
      <w:r>
        <w:t xml:space="preserve"> per 4-slot monitoring </w:t>
      </w:r>
      <w:r w:rsidR="002D3FCF">
        <w:t>window</w:t>
      </w:r>
      <w:r>
        <w:t xml:space="preserve"> can then be defined as</w:t>
      </w:r>
    </w:p>
    <w:p w14:paraId="1ED7240B" w14:textId="77777777" w:rsidR="00294F9D" w:rsidRPr="006249E3" w:rsidRDefault="002F6D4B" w:rsidP="00294F9D">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μ</m:t>
              </m:r>
              <m:r>
                <m:rPr>
                  <m:sty m:val="p"/>
                </m:rPr>
                <w:rPr>
                  <w:rFonts w:ascii="Cambria Math" w:hAnsi="Cambria Math" w:cs="Times New Roman"/>
                </w:rPr>
                <m:t>=5</m:t>
              </m:r>
            </m:sub>
            <m:sup>
              <m:r>
                <m:rPr>
                  <m:sty m:val="p"/>
                </m:rPr>
                <w:rPr>
                  <w:rFonts w:ascii="Cambria Math" w:hAnsi="Cambria Math" w:cs="Times New Roman"/>
                </w:rPr>
                <m:t>4</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3E8E763D" w14:textId="77777777" w:rsidR="00294F9D" w:rsidRPr="006249E3" w:rsidRDefault="002F6D4B" w:rsidP="00294F9D">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=5</m:t>
              </m:r>
            </m:sub>
            <m:sup>
              <m:r>
                <m:rPr>
                  <m:sty m:val="p"/>
                </m:rPr>
                <w:rPr>
                  <w:rFonts w:ascii="Cambria Math" w:hAnsi="Cambria Math"/>
                </w:rPr>
                <m:t>4</m:t>
              </m:r>
              <m:r>
                <m:rPr>
                  <m:nor/>
                </m:rPr>
                <w:rPr>
                  <w:rFonts w:ascii="Cambria Math" w:hAnsi="Cambria Math" w:cs="Times New Roman"/>
                </w:rPr>
                <m:t>-</m:t>
              </m:r>
              <m:r>
                <m:rPr>
                  <m:sty m:val="p"/>
                </m:rPr>
                <w:rPr>
                  <w:rFonts w:ascii="Cambria Math" w:hAnsi="Cambria Math"/>
                </w:rPr>
                <m:t>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rPr>
                <m:t>slot</m:t>
              </m:r>
            </m:sup>
          </m:sSubSup>
        </m:oMath>
      </m:oMathPara>
    </w:p>
    <w:p w14:paraId="7A5ADD7F" w14:textId="4D897235" w:rsidR="00294F9D" w:rsidRDefault="00294F9D" w:rsidP="00294F9D">
      <w:pPr>
        <w:pStyle w:val="BodyText"/>
      </w:pPr>
      <w:r>
        <w:t xml:space="preserve">Similarly, the </w:t>
      </w:r>
      <w:r>
        <w:rPr>
          <w:rFonts w:eastAsiaTheme="minorEastAsia"/>
        </w:rPr>
        <w:t>UE</w:t>
      </w:r>
      <w:r w:rsidRPr="000E4B12">
        <w:t xml:space="preserve"> PDCCH processing capabilities</w:t>
      </w:r>
      <w:r>
        <w:t xml:space="preserve"> per 8-slot monitoring </w:t>
      </w:r>
      <w:r w:rsidR="002D3FCF">
        <w:t>window</w:t>
      </w:r>
      <w:r>
        <w:t xml:space="preserve"> for 960 kHz SCS can then be defined as</w:t>
      </w:r>
    </w:p>
    <w:p w14:paraId="0AF03B17" w14:textId="77777777" w:rsidR="00294F9D" w:rsidRPr="006249E3" w:rsidRDefault="002F6D4B" w:rsidP="00294F9D">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=6</m:t>
              </m:r>
            </m:sub>
            <m:sup>
              <m:r>
                <m:rPr>
                  <m:sty m:val="p"/>
                </m:rPr>
                <w:rPr>
                  <w:rFonts w:ascii="Cambria Math" w:hAnsi="Cambria Math" w:cs="Times New Roman"/>
                </w:rPr>
                <m:t>8</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3D178ED6" w14:textId="77777777" w:rsidR="00294F9D" w:rsidRPr="006249E3" w:rsidRDefault="002F6D4B" w:rsidP="00294F9D">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=6</m:t>
              </m:r>
            </m:sub>
            <m:sup>
              <m:r>
                <m:rPr>
                  <m:sty m:val="p"/>
                </m:rPr>
                <w:rPr>
                  <w:rFonts w:ascii="Cambria Math" w:hAnsi="Cambria Math"/>
                </w:rPr>
                <m:t>8</m:t>
              </m:r>
              <m:r>
                <m:rPr>
                  <m:nor/>
                </m:rPr>
                <w:rPr>
                  <w:rFonts w:ascii="Cambria Math" w:hAnsi="Cambria Math" w:cs="Times New Roman"/>
                </w:rPr>
                <m:t>-</m:t>
              </m:r>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rPr>
                <m:t>slot</m:t>
              </m:r>
            </m:sup>
          </m:sSubSup>
        </m:oMath>
      </m:oMathPara>
    </w:p>
    <w:p w14:paraId="4BCF8B65" w14:textId="66CB8EEE" w:rsidR="00294F9D" w:rsidRDefault="00294F9D" w:rsidP="00294F9D">
      <w:pPr>
        <w:pStyle w:val="BodyText"/>
      </w:pPr>
      <w:r>
        <w:t xml:space="preserve">In other words, the UE capability for BD/CCE per </w:t>
      </w:r>
      <w:r w:rsidR="002D3FCF">
        <w:t>X</w:t>
      </w:r>
      <w:r>
        <w:t xml:space="preserve">-slot </w:t>
      </w:r>
      <w:r w:rsidR="002D3FCF">
        <w:t>window</w:t>
      </w:r>
      <w:r>
        <w:t xml:space="preserve"> for a larger SCS (480 or 960 kHz)</w:t>
      </w:r>
      <w:r w:rsidR="002D3FCF">
        <w:t xml:space="preserve"> with the same duration as a slot with 120 kHz SCS</w:t>
      </w:r>
      <w:r>
        <w:t xml:space="preserve"> is the same as the per-slot capability for 120 kHz</w:t>
      </w:r>
      <w:r w:rsidR="002D3FCF">
        <w:t xml:space="preserve"> SCS</w:t>
      </w:r>
      <w:r>
        <w:t>.</w:t>
      </w:r>
    </w:p>
    <w:p w14:paraId="7FBFA6C5" w14:textId="33A7E0E7" w:rsidR="00290688" w:rsidRDefault="00290688" w:rsidP="00591A94">
      <w:pPr>
        <w:pStyle w:val="BodyText"/>
      </w:pPr>
    </w:p>
    <w:p w14:paraId="25A00665" w14:textId="08B511E4" w:rsidR="00597A88" w:rsidRDefault="00597A88" w:rsidP="00597A88">
      <w:pPr>
        <w:pStyle w:val="Observation"/>
      </w:pPr>
      <w:bookmarkStart w:id="47" w:name="_Toc83990428"/>
      <w:r>
        <w:t xml:space="preserve">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w:t>
      </w:r>
      <w:r>
        <w:rPr>
          <w:rFonts w:eastAsiaTheme="minorEastAsia"/>
        </w:rPr>
        <w:t xml:space="preserve">the </w:t>
      </w:r>
      <w:r>
        <w:t xml:space="preserve">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Pr="00527D78">
        <w:rPr>
          <w:rFonts w:eastAsiaTheme="minorEastAsia"/>
        </w:rPr>
        <w:t xml:space="preserve">, </w:t>
      </w:r>
      <w:r>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t>.</w:t>
      </w:r>
      <w:bookmarkEnd w:id="47"/>
    </w:p>
    <w:p w14:paraId="4A6BD390" w14:textId="77777777" w:rsidR="00597A88" w:rsidRDefault="00597A88" w:rsidP="00591A94">
      <w:pPr>
        <w:pStyle w:val="BodyText"/>
      </w:pPr>
    </w:p>
    <w:p w14:paraId="6DF3FC1D" w14:textId="46E5801C" w:rsidR="00AD072E" w:rsidRDefault="00AD072E" w:rsidP="00016680">
      <w:pPr>
        <w:pStyle w:val="BodyText"/>
        <w:rPr>
          <w:rFonts w:eastAsiaTheme="minorEastAsia"/>
        </w:rPr>
      </w:pPr>
      <w:r>
        <w:rPr>
          <w:rFonts w:eastAsiaTheme="minorEastAsia"/>
        </w:rPr>
        <w:lastRenderedPageBreak/>
        <w:fldChar w:fldCharType="begin"/>
      </w:r>
      <w:r>
        <w:rPr>
          <w:rFonts w:eastAsiaTheme="minorEastAsia"/>
        </w:rPr>
        <w:instrText xml:space="preserve"> REF _Ref68084604 \h </w:instrText>
      </w:r>
      <w:r>
        <w:rPr>
          <w:rFonts w:eastAsiaTheme="minorEastAsia"/>
        </w:rPr>
      </w:r>
      <w:r>
        <w:rPr>
          <w:rFonts w:eastAsiaTheme="minorEastAsia"/>
        </w:rPr>
        <w:fldChar w:fldCharType="separate"/>
      </w:r>
      <w:r w:rsidR="00584934">
        <w:t xml:space="preserve">Figure </w:t>
      </w:r>
      <w:r w:rsidR="00584934">
        <w:rPr>
          <w:noProof/>
        </w:rPr>
        <w:t>8</w:t>
      </w:r>
      <w:r>
        <w:rPr>
          <w:rFonts w:eastAsiaTheme="minorEastAsia"/>
        </w:rPr>
        <w:fldChar w:fldCharType="end"/>
      </w:r>
      <w:r>
        <w:rPr>
          <w:rFonts w:eastAsiaTheme="minorEastAsia"/>
        </w:rPr>
        <w:t xml:space="preserve"> shows the BD and CCE budgets per B slots for Capability Scaling Solutions 1 and 2 assuming </w:t>
      </w:r>
      <w:r w:rsidR="00214A3F">
        <w:rPr>
          <w:rFonts w:eastAsiaTheme="minorEastAsia"/>
        </w:rPr>
        <w:t>X</w:t>
      </w:r>
      <w:r>
        <w:rPr>
          <w:rFonts w:eastAsiaTheme="minorEastAsia"/>
        </w:rPr>
        <w:t xml:space="preserve"> = 4 for 480 kHz and </w:t>
      </w:r>
      <w:r w:rsidR="00214A3F">
        <w:rPr>
          <w:rFonts w:eastAsiaTheme="minorEastAsia"/>
        </w:rPr>
        <w:t>X</w:t>
      </w:r>
      <w:r>
        <w:rPr>
          <w:rFonts w:eastAsiaTheme="minorEastAsia"/>
        </w:rPr>
        <w:t xml:space="preserve"> = 8 for 960 kHz. It can be further discussed what values to define within the range provided by these two solutions.</w:t>
      </w:r>
    </w:p>
    <w:p w14:paraId="5F416B8D" w14:textId="50DDEAA9" w:rsidR="00AD072E" w:rsidRDefault="00AD072E" w:rsidP="003D629D">
      <w:pPr>
        <w:pStyle w:val="BodyText"/>
        <w:spacing w:after="0"/>
        <w:jc w:val="center"/>
      </w:pPr>
      <w:bookmarkStart w:id="48" w:name="_Hlk83807501"/>
      <w:r>
        <w:rPr>
          <w:noProof/>
        </w:rPr>
        <w:drawing>
          <wp:inline distT="0" distB="0" distL="0" distR="0" wp14:anchorId="6C80433D" wp14:editId="75E879C4">
            <wp:extent cx="3657600" cy="2743200"/>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BC7F017" w14:textId="4C608ED1" w:rsidR="00AD072E" w:rsidRDefault="00AD072E" w:rsidP="00CE0733">
      <w:pPr>
        <w:pStyle w:val="Caption"/>
        <w:jc w:val="both"/>
      </w:pPr>
      <w:bookmarkStart w:id="49" w:name="_Ref68084604"/>
      <w:r>
        <w:t xml:space="preserve">Figure </w:t>
      </w:r>
      <w:r>
        <w:fldChar w:fldCharType="begin"/>
      </w:r>
      <w:r>
        <w:instrText xml:space="preserve"> SEQ Figure \* ARABIC </w:instrText>
      </w:r>
      <w:r>
        <w:fldChar w:fldCharType="separate"/>
      </w:r>
      <w:r w:rsidR="00584934">
        <w:rPr>
          <w:noProof/>
        </w:rPr>
        <w:t>8</w:t>
      </w:r>
      <w:r>
        <w:fldChar w:fldCharType="end"/>
      </w:r>
      <w:bookmarkEnd w:id="49"/>
      <w:r>
        <w:t>: BD and CCE budgets per slot and scaled</w:t>
      </w:r>
      <w:r w:rsidRPr="000E4B12">
        <w:rPr>
          <w:rFonts w:cs="Arial"/>
          <w:iCs/>
        </w:rPr>
        <w:t xml:space="preserve"> </w:t>
      </w:r>
      <w:r w:rsidRPr="000E4B12">
        <w:rPr>
          <w:rFonts w:cs="Arial"/>
        </w:rPr>
        <w:t xml:space="preserve">values per </w:t>
      </w:r>
      <w:r>
        <w:rPr>
          <w:rFonts w:cs="Arial"/>
        </w:rPr>
        <w:t xml:space="preserve">B-slots (B = 4 for 480 kHz and B = 8 for 960 kHz). </w:t>
      </w:r>
    </w:p>
    <w:bookmarkEnd w:id="48"/>
    <w:p w14:paraId="136D65E2" w14:textId="77777777" w:rsidR="000532DF" w:rsidRDefault="000532DF" w:rsidP="00016680">
      <w:pPr>
        <w:pStyle w:val="BodyText"/>
        <w:rPr>
          <w:rFonts w:eastAsiaTheme="minorEastAsia"/>
        </w:rPr>
      </w:pPr>
    </w:p>
    <w:p w14:paraId="43C11CAC" w14:textId="2C6D232B" w:rsidR="000532DF" w:rsidRDefault="00E34F83" w:rsidP="00016680">
      <w:pPr>
        <w:pStyle w:val="BodyText"/>
      </w:pPr>
      <w:r>
        <w:rPr>
          <w:rFonts w:eastAsiaTheme="minorEastAsia"/>
        </w:rPr>
        <w:t xml:space="preserve">With Rel-17 work approaching closing, RAN1 </w:t>
      </w:r>
      <w:r w:rsidR="005B24C2">
        <w:rPr>
          <w:rFonts w:eastAsiaTheme="minorEastAsia"/>
        </w:rPr>
        <w:t>should strive to progress in the m</w:t>
      </w:r>
      <w:r w:rsidR="005B24C2">
        <w:t xml:space="preserve">ulti-slot PDCCH processing capabilities for 480/960 kHz SCS. Toward this end, </w:t>
      </w:r>
      <w:r w:rsidR="00D348E2">
        <w:t>we propose the following starting exemplary lower and upper bound</w:t>
      </w:r>
      <w:r w:rsidR="00B1493F">
        <w:t>s</w:t>
      </w:r>
      <w:r w:rsidR="00D348E2">
        <w:t xml:space="preserve"> </w:t>
      </w:r>
      <w:r w:rsidR="00B1493F">
        <w:t>as the starting point for RAN1 discussion:</w:t>
      </w:r>
    </w:p>
    <w:p w14:paraId="71EAE084" w14:textId="1AE658CE" w:rsidR="00B1493F" w:rsidRDefault="006D288D" w:rsidP="00AC216B">
      <w:pPr>
        <w:pStyle w:val="BodyText"/>
        <w:numPr>
          <w:ilvl w:val="0"/>
          <w:numId w:val="19"/>
        </w:numPr>
        <w:rPr>
          <w:rFonts w:eastAsiaTheme="minorEastAsia"/>
        </w:rPr>
      </w:pPr>
      <w:r>
        <w:rPr>
          <w:rFonts w:eastAsiaTheme="minorEastAsia"/>
        </w:rPr>
        <w:t xml:space="preserve">480 kHz SCS with </w:t>
      </w:r>
      <w:r w:rsidR="002D3FCF">
        <w:rPr>
          <w:rFonts w:eastAsiaTheme="minorEastAsia"/>
        </w:rPr>
        <w:t>window</w:t>
      </w:r>
      <w:r>
        <w:rPr>
          <w:rFonts w:eastAsiaTheme="minorEastAsia"/>
        </w:rPr>
        <w:t xml:space="preserve"> size of </w:t>
      </w:r>
      <w:r w:rsidR="000924A3">
        <w:rPr>
          <w:rFonts w:eastAsiaTheme="minorEastAsia"/>
        </w:rPr>
        <w:t>X</w:t>
      </w:r>
      <w:r>
        <w:rPr>
          <w:rFonts w:eastAsiaTheme="minorEastAsia"/>
        </w:rPr>
        <w:t>=4</w:t>
      </w:r>
    </w:p>
    <w:p w14:paraId="485899EB" w14:textId="009711F2" w:rsidR="00B6147A" w:rsidRPr="00F27BA4" w:rsidRDefault="002F6D4B" w:rsidP="00AC216B">
      <w:pPr>
        <w:pStyle w:val="BodyText"/>
        <w:numPr>
          <w:ilvl w:val="1"/>
          <w:numId w:val="19"/>
        </w:numPr>
        <w:rPr>
          <w:rFonts w:eastAsiaTheme="minorEastAsia"/>
        </w:rPr>
      </w:p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5</m:t>
            </m:r>
          </m:sub>
          <m:sup>
            <m:r>
              <w:rPr>
                <w:rFonts w:ascii="Cambria Math" w:hAnsi="Cambria Math" w:cs="Times New Roman"/>
              </w:rPr>
              <m:t>4</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20-48</m:t>
            </m:r>
          </m:e>
        </m:d>
      </m:oMath>
    </w:p>
    <w:p w14:paraId="36BF1D94" w14:textId="7B00EE24" w:rsidR="00E84AA6" w:rsidRPr="00E84AA6" w:rsidRDefault="002F6D4B" w:rsidP="00AC216B">
      <w:pPr>
        <w:pStyle w:val="BodyText"/>
        <w:numPr>
          <w:ilvl w:val="1"/>
          <w:numId w:val="19"/>
        </w:numPr>
        <w:rPr>
          <w:rFonts w:eastAsiaTheme="minorEastAsia"/>
        </w:rPr>
      </w:p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CCE, 5</m:t>
            </m:r>
          </m:sub>
          <m:sup>
            <m:r>
              <w:rPr>
                <w:rFonts w:ascii="Cambria Math" w:hAnsi="Cambria Math" w:cs="Times New Roman"/>
              </w:rPr>
              <m:t>4</m:t>
            </m:r>
            <m:r>
              <m:rPr>
                <m:nor/>
              </m:rPr>
              <w:rPr>
                <w:rFonts w:ascii="Cambria Math" w:hAnsi="Cambria Math" w:cs="Times New Roman"/>
              </w:rPr>
              <m:t>-</m:t>
            </m:r>
            <m:r>
              <m:rPr>
                <m:sty m:val="p"/>
              </m:rPr>
              <w:rPr>
                <w:rFonts w:ascii="Cambria Math" w:hAnsi="Cambria Math" w:cs="Times New Roman"/>
              </w:rPr>
              <m:t>slot</m:t>
            </m:r>
          </m:sup>
        </m:sSubSup>
        <m:r>
          <w:rPr>
            <w:rFonts w:ascii="Cambria Math" w:eastAsiaTheme="minorEastAsia" w:hAnsi="Cambria Math"/>
          </w:rPr>
          <m:t>=[32-80]</m:t>
        </m:r>
      </m:oMath>
    </w:p>
    <w:p w14:paraId="7660A603" w14:textId="47F02AC9" w:rsidR="006D288D" w:rsidRDefault="006D288D" w:rsidP="00AC216B">
      <w:pPr>
        <w:pStyle w:val="BodyText"/>
        <w:numPr>
          <w:ilvl w:val="0"/>
          <w:numId w:val="19"/>
        </w:numPr>
        <w:rPr>
          <w:rFonts w:eastAsiaTheme="minorEastAsia"/>
        </w:rPr>
      </w:pPr>
      <w:r>
        <w:rPr>
          <w:rFonts w:eastAsiaTheme="minorEastAsia"/>
        </w:rPr>
        <w:t xml:space="preserve">960 kHz SCS with </w:t>
      </w:r>
      <w:r w:rsidR="002D3FCF">
        <w:rPr>
          <w:rFonts w:eastAsiaTheme="minorEastAsia"/>
        </w:rPr>
        <w:t>window</w:t>
      </w:r>
      <w:r>
        <w:rPr>
          <w:rFonts w:eastAsiaTheme="minorEastAsia"/>
        </w:rPr>
        <w:t xml:space="preserve"> size of </w:t>
      </w:r>
      <w:r w:rsidR="000924A3">
        <w:rPr>
          <w:rFonts w:eastAsiaTheme="minorEastAsia"/>
        </w:rPr>
        <w:t>X</w:t>
      </w:r>
      <w:r>
        <w:rPr>
          <w:rFonts w:eastAsiaTheme="minorEastAsia"/>
        </w:rPr>
        <w:t>=8</w:t>
      </w:r>
    </w:p>
    <w:p w14:paraId="285F0D58" w14:textId="4B4A5854" w:rsidR="00E51E21" w:rsidRPr="004B2E9F" w:rsidRDefault="002F6D4B" w:rsidP="00AC216B">
      <w:pPr>
        <w:pStyle w:val="BodyText"/>
        <w:numPr>
          <w:ilvl w:val="1"/>
          <w:numId w:val="19"/>
        </w:numPr>
        <w:rPr>
          <w:rFonts w:eastAsiaTheme="minorEastAsia"/>
        </w:rPr>
      </w:p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6</m:t>
            </m:r>
          </m:sub>
          <m:sup>
            <m:r>
              <w:rPr>
                <w:rFonts w:ascii="Cambria Math" w:hAnsi="Cambria Math" w:cs="Times New Roman"/>
              </w:rPr>
              <m:t>8</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20-72</m:t>
            </m:r>
          </m:e>
        </m:d>
      </m:oMath>
    </w:p>
    <w:p w14:paraId="618FB671" w14:textId="658DF75A" w:rsidR="00E51E21" w:rsidRPr="004B2E9F" w:rsidRDefault="002F6D4B" w:rsidP="00AC216B">
      <w:pPr>
        <w:pStyle w:val="BodyText"/>
        <w:numPr>
          <w:ilvl w:val="1"/>
          <w:numId w:val="19"/>
        </w:numPr>
        <w:rPr>
          <w:rFonts w:eastAsiaTheme="minorEastAsia"/>
        </w:rPr>
      </w:p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CCE, </m:t>
            </m:r>
            <m:r>
              <w:rPr>
                <w:rFonts w:ascii="Cambria Math" w:hAnsi="Cambria Math" w:cs="Times New Roman"/>
              </w:rPr>
              <m:t>6</m:t>
            </m:r>
          </m:sub>
          <m:sup>
            <m:r>
              <w:rPr>
                <w:rFonts w:ascii="Cambria Math" w:hAnsi="Cambria Math" w:cs="Times New Roman"/>
              </w:rPr>
              <m:t>8</m:t>
            </m:r>
            <m:r>
              <m:rPr>
                <m:nor/>
              </m:rPr>
              <w:rPr>
                <w:rFonts w:ascii="Cambria Math" w:hAnsi="Cambria Math" w:cs="Times New Roman"/>
              </w:rPr>
              <m:t>-</m:t>
            </m:r>
            <m:r>
              <m:rPr>
                <m:sty m:val="p"/>
              </m:rPr>
              <w:rPr>
                <w:rFonts w:ascii="Cambria Math" w:hAnsi="Cambria Math" w:cs="Times New Roman"/>
              </w:rPr>
              <m:t>slot</m:t>
            </m:r>
          </m:sup>
        </m:sSubSup>
        <m:r>
          <w:rPr>
            <w:rFonts w:ascii="Cambria Math" w:eastAsiaTheme="minorEastAsia" w:hAnsi="Cambria Math"/>
          </w:rPr>
          <m:t>=[32-128]</m:t>
        </m:r>
      </m:oMath>
    </w:p>
    <w:p w14:paraId="5A4C536C" w14:textId="1F185B9E" w:rsidR="000532DF" w:rsidRDefault="00AB7FBD" w:rsidP="00016680">
      <w:pPr>
        <w:pStyle w:val="BodyText"/>
        <w:rPr>
          <w:rFonts w:eastAsiaTheme="minorEastAsia"/>
        </w:rPr>
      </w:pPr>
      <w:r>
        <w:rPr>
          <w:rFonts w:eastAsiaTheme="minorEastAsia"/>
        </w:rPr>
        <w:t xml:space="preserve">Note that the capabilities of a UE supporting 960 kHz SCS </w:t>
      </w:r>
      <w:r w:rsidR="00EC7346">
        <w:rPr>
          <w:rFonts w:eastAsiaTheme="minorEastAsia"/>
        </w:rPr>
        <w:t>can be</w:t>
      </w:r>
      <w:r>
        <w:rPr>
          <w:rFonts w:eastAsiaTheme="minorEastAsia"/>
        </w:rPr>
        <w:t xml:space="preserve"> higher than those for supporting only 480 kHz SCS since </w:t>
      </w:r>
      <w:r w:rsidR="00C278A8">
        <w:rPr>
          <w:rFonts w:eastAsiaTheme="minorEastAsia"/>
        </w:rPr>
        <w:t xml:space="preserve">the former is equipped with higher processing powers to address larger bandwidths </w:t>
      </w:r>
      <w:r w:rsidR="00D13994">
        <w:rPr>
          <w:rFonts w:eastAsiaTheme="minorEastAsia"/>
        </w:rPr>
        <w:t>with shorter OFDM symbol and slot times.</w:t>
      </w:r>
    </w:p>
    <w:p w14:paraId="7B324E63" w14:textId="77777777" w:rsidR="00AB7FBD" w:rsidRDefault="00AB7FBD" w:rsidP="00016680">
      <w:pPr>
        <w:pStyle w:val="BodyText"/>
        <w:rPr>
          <w:rFonts w:eastAsiaTheme="minorEastAsia"/>
        </w:rPr>
      </w:pPr>
    </w:p>
    <w:p w14:paraId="4DC471BE" w14:textId="77777777" w:rsidR="00F27BA4" w:rsidRPr="00F27BA4" w:rsidRDefault="00A72D5A" w:rsidP="00F27BA4">
      <w:pPr>
        <w:pStyle w:val="Proposal"/>
        <w:tabs>
          <w:tab w:val="num" w:pos="1304"/>
        </w:tabs>
        <w:overflowPunct w:val="0"/>
        <w:autoSpaceDE w:val="0"/>
        <w:autoSpaceDN w:val="0"/>
        <w:adjustRightInd w:val="0"/>
        <w:spacing w:after="0" w:line="240" w:lineRule="auto"/>
        <w:ind w:left="1304" w:hanging="1304"/>
        <w:textAlignment w:val="baseline"/>
        <w:rPr>
          <w:rFonts w:eastAsiaTheme="minorEastAsia"/>
        </w:rPr>
      </w:pPr>
      <w:bookmarkStart w:id="50" w:name="_Toc83990580"/>
      <w:bookmarkStart w:id="51" w:name="_Ref79163691"/>
      <w:r>
        <w:rPr>
          <w:rFonts w:eastAsiaTheme="minorEastAsia"/>
        </w:rPr>
        <w:t xml:space="preserve">RAN1 agrees to the following </w:t>
      </w:r>
      <w:r w:rsidR="00993CCD">
        <w:rPr>
          <w:rFonts w:eastAsiaTheme="minorEastAsia"/>
        </w:rPr>
        <w:t>m</w:t>
      </w:r>
      <w:r w:rsidR="00993CCD">
        <w:t xml:space="preserve">ulti-slot PDCCH processing capability ranges </w:t>
      </w:r>
      <w:r w:rsidR="002D7EEA">
        <w:t xml:space="preserve">for 480/960 kHz SCS as </w:t>
      </w:r>
      <w:r w:rsidR="008A090F">
        <w:t xml:space="preserve">the starting point </w:t>
      </w:r>
      <w:r w:rsidR="00993CCD">
        <w:t xml:space="preserve">to progress </w:t>
      </w:r>
      <w:r w:rsidR="008A090F">
        <w:t xml:space="preserve">the </w:t>
      </w:r>
      <w:r w:rsidR="004A7045">
        <w:t xml:space="preserve">Rel-17 </w:t>
      </w:r>
      <w:r w:rsidR="008A090F">
        <w:t xml:space="preserve">specification </w:t>
      </w:r>
      <w:r w:rsidR="00615B85">
        <w:t>effort:</w:t>
      </w:r>
      <w:bookmarkEnd w:id="50"/>
    </w:p>
    <w:p w14:paraId="2878029F" w14:textId="2E746E85" w:rsidR="00F27BA4" w:rsidRDefault="00615B85" w:rsidP="00AC216B">
      <w:pPr>
        <w:pStyle w:val="Proposal"/>
        <w:numPr>
          <w:ilvl w:val="1"/>
          <w:numId w:val="2"/>
        </w:numPr>
        <w:tabs>
          <w:tab w:val="clear" w:pos="1440"/>
          <w:tab w:val="clear" w:pos="1701"/>
        </w:tabs>
        <w:overflowPunct w:val="0"/>
        <w:autoSpaceDE w:val="0"/>
        <w:autoSpaceDN w:val="0"/>
        <w:adjustRightInd w:val="0"/>
        <w:spacing w:after="0" w:line="240" w:lineRule="auto"/>
        <w:ind w:left="2070"/>
        <w:textAlignment w:val="baseline"/>
        <w:rPr>
          <w:rFonts w:eastAsiaTheme="minorEastAsia"/>
        </w:rPr>
      </w:pPr>
      <w:bookmarkStart w:id="52" w:name="_Toc83990581"/>
      <w:r>
        <w:rPr>
          <w:rFonts w:eastAsiaTheme="minorEastAsia"/>
        </w:rPr>
        <w:t xml:space="preserve">480 kHz SCS with </w:t>
      </w:r>
      <w:r w:rsidR="002D3FCF">
        <w:rPr>
          <w:rFonts w:eastAsiaTheme="minorEastAsia"/>
        </w:rPr>
        <w:t>window</w:t>
      </w:r>
      <w:r>
        <w:rPr>
          <w:rFonts w:eastAsiaTheme="minorEastAsia"/>
        </w:rPr>
        <w:t xml:space="preserve"> size of </w:t>
      </w:r>
      <w:r w:rsidR="00C46A46">
        <w:rPr>
          <w:rFonts w:eastAsiaTheme="minorEastAsia"/>
        </w:rPr>
        <w:t>X</w:t>
      </w:r>
      <w:r>
        <w:rPr>
          <w:rFonts w:eastAsiaTheme="minorEastAsia"/>
        </w:rPr>
        <w:t xml:space="preserve">=4: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2"/>
      <w:r w:rsidR="00C96D5D">
        <w:rPr>
          <w:rFonts w:eastAsiaTheme="minorEastAsia"/>
        </w:rPr>
        <w:t>.</w:t>
      </w:r>
    </w:p>
    <w:p w14:paraId="0BE04CEE" w14:textId="43C0AEF2" w:rsidR="00993CCD" w:rsidRDefault="00615B85" w:rsidP="00AC216B">
      <w:pPr>
        <w:pStyle w:val="Proposal"/>
        <w:numPr>
          <w:ilvl w:val="1"/>
          <w:numId w:val="2"/>
        </w:numPr>
        <w:tabs>
          <w:tab w:val="clear" w:pos="1440"/>
          <w:tab w:val="clear" w:pos="1701"/>
        </w:tabs>
        <w:overflowPunct w:val="0"/>
        <w:autoSpaceDE w:val="0"/>
        <w:autoSpaceDN w:val="0"/>
        <w:adjustRightInd w:val="0"/>
        <w:spacing w:line="240" w:lineRule="auto"/>
        <w:ind w:left="2070"/>
        <w:textAlignment w:val="baseline"/>
        <w:rPr>
          <w:rFonts w:eastAsiaTheme="minorEastAsia"/>
        </w:rPr>
      </w:pPr>
      <w:bookmarkStart w:id="53" w:name="_Toc83990582"/>
      <w:r>
        <w:rPr>
          <w:rFonts w:eastAsiaTheme="minorEastAsia"/>
        </w:rPr>
        <w:t xml:space="preserve">960 kHz SCS with </w:t>
      </w:r>
      <w:r w:rsidR="002D3FCF">
        <w:rPr>
          <w:rFonts w:eastAsiaTheme="minorEastAsia"/>
        </w:rPr>
        <w:t>window</w:t>
      </w:r>
      <w:r>
        <w:rPr>
          <w:rFonts w:eastAsiaTheme="minorEastAsia"/>
        </w:rPr>
        <w:t xml:space="preserve"> size of </w:t>
      </w:r>
      <w:r w:rsidR="00C46A46">
        <w:rPr>
          <w:rFonts w:eastAsiaTheme="minorEastAsia"/>
        </w:rPr>
        <w:t>X</w:t>
      </w:r>
      <w:r>
        <w:rPr>
          <w:rFonts w:eastAsiaTheme="minorEastAsia"/>
        </w:rPr>
        <w:t xml:space="preserve">=8: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1"/>
      <w:bookmarkEnd w:id="53"/>
      <w:r w:rsidR="00C96D5D">
        <w:rPr>
          <w:rFonts w:eastAsiaTheme="minorEastAsia"/>
        </w:rPr>
        <w:t>.</w:t>
      </w:r>
    </w:p>
    <w:p w14:paraId="7A2EDFAA" w14:textId="637E7623" w:rsidR="00394451" w:rsidRPr="00CE0424" w:rsidRDefault="00394451" w:rsidP="00394451">
      <w:pPr>
        <w:pStyle w:val="Heading1"/>
      </w:pPr>
      <w:bookmarkStart w:id="54" w:name="_Toc67653048"/>
      <w:r w:rsidRPr="00CE0424">
        <w:t>Conclusion</w:t>
      </w:r>
      <w:bookmarkEnd w:id="54"/>
    </w:p>
    <w:p w14:paraId="7F453617" w14:textId="77777777" w:rsidR="00D3526E" w:rsidRPr="00D3526E" w:rsidRDefault="00D3526E" w:rsidP="00D3526E">
      <w:pPr>
        <w:pStyle w:val="BodyText"/>
        <w:rPr>
          <w:b/>
          <w:bCs/>
        </w:rPr>
      </w:pPr>
      <w:r w:rsidRPr="00D3526E">
        <w:t>In this paper we made the following observations:</w:t>
      </w:r>
      <w:r w:rsidRPr="00D3526E">
        <w:rPr>
          <w:b/>
          <w:bCs/>
        </w:rPr>
        <w:t xml:space="preserve"> </w:t>
      </w:r>
    </w:p>
    <w:p w14:paraId="250C821D" w14:textId="51486A14" w:rsidR="00792821" w:rsidRDefault="00D3526E">
      <w:pPr>
        <w:pStyle w:val="TableofFigures"/>
        <w:tabs>
          <w:tab w:val="right" w:leader="dot" w:pos="9629"/>
        </w:tabs>
        <w:rPr>
          <w:rFonts w:asciiTheme="minorHAnsi" w:eastAsiaTheme="minorEastAsia" w:hAnsiTheme="minorHAnsi"/>
          <w:b w:val="0"/>
          <w:noProof/>
          <w:sz w:val="22"/>
          <w:lang w:eastAsia="en-US"/>
        </w:rPr>
      </w:pPr>
      <w:r w:rsidRPr="00D3526E">
        <w:rPr>
          <w:bCs/>
        </w:rPr>
        <w:fldChar w:fldCharType="begin"/>
      </w:r>
      <w:r w:rsidRPr="00D3526E">
        <w:rPr>
          <w:bCs/>
        </w:rPr>
        <w:instrText xml:space="preserve"> TOC \f O \n \h \z \t "Observation" \c </w:instrText>
      </w:r>
      <w:r w:rsidRPr="00D3526E">
        <w:rPr>
          <w:bCs/>
        </w:rPr>
        <w:fldChar w:fldCharType="separate"/>
      </w:r>
      <w:hyperlink w:anchor="_Toc83990420" w:history="1">
        <w:r w:rsidR="00792821" w:rsidRPr="004F3D75">
          <w:rPr>
            <w:rStyle w:val="Hyperlink"/>
            <w:noProof/>
          </w:rPr>
          <w:t>Observation 1</w:t>
        </w:r>
        <w:r w:rsidR="00792821">
          <w:rPr>
            <w:rFonts w:asciiTheme="minorHAnsi" w:eastAsiaTheme="minorEastAsia" w:hAnsiTheme="minorHAnsi"/>
            <w:b w:val="0"/>
            <w:noProof/>
            <w:sz w:val="22"/>
            <w:lang w:eastAsia="en-US"/>
          </w:rPr>
          <w:tab/>
        </w:r>
        <w:r w:rsidR="00792821" w:rsidRPr="004F3D75">
          <w:rPr>
            <w:rStyle w:val="Hyperlink"/>
            <w:noProof/>
          </w:rPr>
          <w:t xml:space="preserve">For Rel-15 slot-based PDCCH monitoring, </w:t>
        </w:r>
        <w:r w:rsidR="00792821" w:rsidRPr="004F3D75">
          <w:rPr>
            <w:rStyle w:val="Hyperlink"/>
            <w:noProof/>
            <w:lang w:val="en-GB"/>
          </w:rPr>
          <w:t>the BD/CCE budget for a slot is allocated for monitoring CSS located within the slot, with the remaining budget utilized for monitoring USS according to ascending USS index</w:t>
        </w:r>
        <w:r w:rsidR="00792821" w:rsidRPr="004F3D75">
          <w:rPr>
            <w:rStyle w:val="Hyperlink"/>
            <w:noProof/>
          </w:rPr>
          <w:t>.</w:t>
        </w:r>
        <w:r w:rsidR="00792821">
          <w:rPr>
            <w:rStyle w:val="Hyperlink"/>
            <w:noProof/>
          </w:rPr>
          <w:br/>
        </w:r>
        <w:r w:rsidR="00792821" w:rsidRPr="004F3D75">
          <w:rPr>
            <w:rStyle w:val="Hyperlink"/>
            <w:noProof/>
            <w:lang w:val="en-GB"/>
          </w:rPr>
          <w:t xml:space="preserve">The presence of </w:t>
        </w:r>
        <w:r w:rsidR="00792821" w:rsidRPr="004F3D75">
          <w:rPr>
            <w:rStyle w:val="Hyperlink"/>
            <w:noProof/>
          </w:rPr>
          <w:t xml:space="preserve">type 1 CSS without dedicated RRC configuration and for type 0, </w:t>
        </w:r>
        <w:r w:rsidR="00792821" w:rsidRPr="004F3D75">
          <w:rPr>
            <w:rStyle w:val="Hyperlink"/>
            <w:noProof/>
          </w:rPr>
          <w:lastRenderedPageBreak/>
          <w:t>0A, and 2 CSS</w:t>
        </w:r>
        <w:r w:rsidR="00792821" w:rsidRPr="004F3D75">
          <w:rPr>
            <w:rStyle w:val="Hyperlink"/>
            <w:noProof/>
            <w:lang w:val="en-GB"/>
          </w:rPr>
          <w:t xml:space="preserve"> within a slot, regardless of where such a CSS locates within the slot, has no impact on the BD/CCE budget for the next slot.</w:t>
        </w:r>
      </w:hyperlink>
    </w:p>
    <w:p w14:paraId="6BE84FF9" w14:textId="5BC476D2" w:rsidR="00792821" w:rsidRDefault="002F6D4B">
      <w:pPr>
        <w:pStyle w:val="TableofFigures"/>
        <w:tabs>
          <w:tab w:val="right" w:leader="dot" w:pos="9629"/>
        </w:tabs>
        <w:rPr>
          <w:rFonts w:asciiTheme="minorHAnsi" w:eastAsiaTheme="minorEastAsia" w:hAnsiTheme="minorHAnsi"/>
          <w:b w:val="0"/>
          <w:noProof/>
          <w:sz w:val="22"/>
          <w:lang w:eastAsia="en-US"/>
        </w:rPr>
      </w:pPr>
      <w:hyperlink w:anchor="_Toc83990421" w:history="1">
        <w:r w:rsidR="00792821" w:rsidRPr="004F3D75">
          <w:rPr>
            <w:rStyle w:val="Hyperlink"/>
            <w:noProof/>
          </w:rPr>
          <w:t>Observation 2</w:t>
        </w:r>
        <w:r w:rsidR="00792821">
          <w:rPr>
            <w:rFonts w:asciiTheme="minorHAnsi" w:eastAsiaTheme="minorEastAsia" w:hAnsiTheme="minorHAnsi"/>
            <w:b w:val="0"/>
            <w:noProof/>
            <w:sz w:val="22"/>
            <w:lang w:eastAsia="en-US"/>
          </w:rPr>
          <w:tab/>
        </w:r>
        <w:r w:rsidR="00792821" w:rsidRPr="004F3D75">
          <w:rPr>
            <w:rStyle w:val="Hyperlink"/>
            <w:noProof/>
          </w:rPr>
          <w:t xml:space="preserve">For operation with 480/960 kHz SCS, </w:t>
        </w:r>
        <w:r w:rsidR="00792821" w:rsidRPr="004F3D75">
          <w:rPr>
            <w:rStyle w:val="Hyperlink"/>
            <w:noProof/>
            <w:lang w:val="en-GB"/>
          </w:rPr>
          <w:t>multi-slot PDCCH monitoring Alt 2 requires significant and wide-ranging changes to the fundamental NR design for initial access.</w:t>
        </w:r>
      </w:hyperlink>
    </w:p>
    <w:p w14:paraId="4A510190" w14:textId="337953D9" w:rsidR="00792821" w:rsidRDefault="002F6D4B">
      <w:pPr>
        <w:pStyle w:val="TableofFigures"/>
        <w:tabs>
          <w:tab w:val="right" w:leader="dot" w:pos="9629"/>
        </w:tabs>
        <w:rPr>
          <w:rFonts w:asciiTheme="minorHAnsi" w:eastAsiaTheme="minorEastAsia" w:hAnsiTheme="minorHAnsi"/>
          <w:b w:val="0"/>
          <w:noProof/>
          <w:sz w:val="22"/>
          <w:lang w:eastAsia="en-US"/>
        </w:rPr>
      </w:pPr>
      <w:hyperlink w:anchor="_Toc83990422" w:history="1">
        <w:r w:rsidR="00792821" w:rsidRPr="004F3D75">
          <w:rPr>
            <w:rStyle w:val="Hyperlink"/>
            <w:noProof/>
          </w:rPr>
          <w:t>Observation 3</w:t>
        </w:r>
        <w:r w:rsidR="00792821">
          <w:rPr>
            <w:rFonts w:asciiTheme="minorHAnsi" w:eastAsiaTheme="minorEastAsia" w:hAnsiTheme="minorHAnsi"/>
            <w:b w:val="0"/>
            <w:noProof/>
            <w:sz w:val="22"/>
            <w:lang w:eastAsia="en-US"/>
          </w:rPr>
          <w:tab/>
        </w:r>
        <w:r w:rsidR="00792821" w:rsidRPr="004F3D75">
          <w:rPr>
            <w:rStyle w:val="Hyperlink"/>
            <w:noProof/>
          </w:rPr>
          <w:t xml:space="preserve">The existing </w:t>
        </w:r>
        <w:r w:rsidR="00792821" w:rsidRPr="004F3D75">
          <w:rPr>
            <w:rStyle w:val="Hyperlink"/>
            <w:noProof/>
            <w:lang w:val="en-GB"/>
          </w:rPr>
          <w:t>TDD UL/DL configuration mechanism for FR2 (using 60 or 120 kHz reference SCS) can support the TDD UL/DL configuration for NR operation in 52.6 – 71 GHz</w:t>
        </w:r>
        <w:r w:rsidR="00792821" w:rsidRPr="004F3D75">
          <w:rPr>
            <w:rStyle w:val="Hyperlink"/>
            <w:noProof/>
          </w:rPr>
          <w:t>.</w:t>
        </w:r>
      </w:hyperlink>
    </w:p>
    <w:p w14:paraId="20B5BFC4" w14:textId="1D9B0621" w:rsidR="00792821" w:rsidRDefault="002F6D4B">
      <w:pPr>
        <w:pStyle w:val="TableofFigures"/>
        <w:tabs>
          <w:tab w:val="right" w:leader="dot" w:pos="9629"/>
        </w:tabs>
        <w:rPr>
          <w:rFonts w:asciiTheme="minorHAnsi" w:eastAsiaTheme="minorEastAsia" w:hAnsiTheme="minorHAnsi"/>
          <w:b w:val="0"/>
          <w:noProof/>
          <w:sz w:val="22"/>
          <w:lang w:eastAsia="en-US"/>
        </w:rPr>
      </w:pPr>
      <w:hyperlink w:anchor="_Toc83990423" w:history="1">
        <w:r w:rsidR="00792821" w:rsidRPr="004F3D75">
          <w:rPr>
            <w:rStyle w:val="Hyperlink"/>
            <w:noProof/>
          </w:rPr>
          <w:t>Observation 4</w:t>
        </w:r>
        <w:r w:rsidR="00792821">
          <w:rPr>
            <w:rFonts w:asciiTheme="minorHAnsi" w:eastAsiaTheme="minorEastAsia" w:hAnsiTheme="minorHAnsi"/>
            <w:b w:val="0"/>
            <w:noProof/>
            <w:sz w:val="22"/>
            <w:lang w:eastAsia="en-US"/>
          </w:rPr>
          <w:tab/>
        </w:r>
        <w:r w:rsidR="00792821" w:rsidRPr="004F3D75">
          <w:rPr>
            <w:rStyle w:val="Hyperlink"/>
            <w:noProof/>
          </w:rPr>
          <w:t>For X=4 with 480 kHz SCS and X=8 with 960 kHz SCS, the multi-slot PDCCH processing capability windows for Alt 1 are aligned with the slots of a 120 kHz SCS cell.</w:t>
        </w:r>
      </w:hyperlink>
    </w:p>
    <w:p w14:paraId="778A7C7F" w14:textId="3B760A8A" w:rsidR="00792821" w:rsidRDefault="002F6D4B">
      <w:pPr>
        <w:pStyle w:val="TableofFigures"/>
        <w:tabs>
          <w:tab w:val="right" w:leader="dot" w:pos="9629"/>
        </w:tabs>
        <w:rPr>
          <w:rFonts w:asciiTheme="minorHAnsi" w:eastAsiaTheme="minorEastAsia" w:hAnsiTheme="minorHAnsi"/>
          <w:b w:val="0"/>
          <w:noProof/>
          <w:sz w:val="22"/>
          <w:lang w:eastAsia="en-US"/>
        </w:rPr>
      </w:pPr>
      <w:hyperlink w:anchor="_Toc83990424" w:history="1">
        <w:r w:rsidR="00792821" w:rsidRPr="004F3D75">
          <w:rPr>
            <w:rStyle w:val="Hyperlink"/>
            <w:noProof/>
          </w:rPr>
          <w:t>Observation 5</w:t>
        </w:r>
        <w:r w:rsidR="00792821">
          <w:rPr>
            <w:rFonts w:asciiTheme="minorHAnsi" w:eastAsiaTheme="minorEastAsia" w:hAnsiTheme="minorHAnsi"/>
            <w:b w:val="0"/>
            <w:noProof/>
            <w:sz w:val="22"/>
            <w:lang w:eastAsia="en-US"/>
          </w:rPr>
          <w:tab/>
        </w:r>
        <w:r w:rsidR="00792821" w:rsidRPr="004F3D75">
          <w:rPr>
            <w:rStyle w:val="Hyperlink"/>
            <w:noProof/>
          </w:rPr>
          <w:t>For PDCCH monitoring load checking using the floating spans under Alt 2, 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the originally proposed Alt 3 based on a sliding window. The multiple possible delineations also raise issues on how exactly to handle PDCCH overbooking/dropping under Alt 2.</w:t>
        </w:r>
      </w:hyperlink>
    </w:p>
    <w:p w14:paraId="16D6FA1E" w14:textId="3C997A32" w:rsidR="00792821" w:rsidRDefault="002F6D4B">
      <w:pPr>
        <w:pStyle w:val="TableofFigures"/>
        <w:tabs>
          <w:tab w:val="right" w:leader="dot" w:pos="9629"/>
        </w:tabs>
        <w:rPr>
          <w:rFonts w:asciiTheme="minorHAnsi" w:eastAsiaTheme="minorEastAsia" w:hAnsiTheme="minorHAnsi"/>
          <w:b w:val="0"/>
          <w:noProof/>
          <w:sz w:val="22"/>
          <w:lang w:eastAsia="en-US"/>
        </w:rPr>
      </w:pPr>
      <w:hyperlink w:anchor="_Toc83990425" w:history="1">
        <w:r w:rsidR="00792821" w:rsidRPr="004F3D75">
          <w:rPr>
            <w:rStyle w:val="Hyperlink"/>
            <w:noProof/>
          </w:rPr>
          <w:t>Observation 6</w:t>
        </w:r>
        <w:r w:rsidR="00792821">
          <w:rPr>
            <w:rFonts w:asciiTheme="minorHAnsi" w:eastAsiaTheme="minorEastAsia" w:hAnsiTheme="minorHAnsi"/>
            <w:b w:val="0"/>
            <w:noProof/>
            <w:sz w:val="22"/>
            <w:lang w:eastAsia="en-US"/>
          </w:rPr>
          <w:tab/>
        </w:r>
        <w:r w:rsidR="00792821" w:rsidRPr="004F3D75">
          <w:rPr>
            <w:rStyle w:val="Hyperlink"/>
            <w:noProof/>
          </w:rPr>
          <w:t>For PDCCH monitoring load checking using the floating spans under Alt 2, a large slot bitmap needs to be computed, particularly when the SS periodicity configuration is fully flexible (e.g., coprime with the span size X).</w:t>
        </w:r>
      </w:hyperlink>
    </w:p>
    <w:p w14:paraId="50460C9E" w14:textId="617DE9BD" w:rsidR="00792821" w:rsidRDefault="002F6D4B">
      <w:pPr>
        <w:pStyle w:val="TableofFigures"/>
        <w:tabs>
          <w:tab w:val="right" w:leader="dot" w:pos="9629"/>
        </w:tabs>
        <w:rPr>
          <w:rFonts w:asciiTheme="minorHAnsi" w:eastAsiaTheme="minorEastAsia" w:hAnsiTheme="minorHAnsi"/>
          <w:b w:val="0"/>
          <w:noProof/>
          <w:sz w:val="22"/>
          <w:lang w:eastAsia="en-US"/>
        </w:rPr>
      </w:pPr>
      <w:hyperlink w:anchor="_Toc83990426" w:history="1">
        <w:r w:rsidR="00792821" w:rsidRPr="004F3D75">
          <w:rPr>
            <w:rStyle w:val="Hyperlink"/>
            <w:noProof/>
          </w:rPr>
          <w:t>Observation 7</w:t>
        </w:r>
        <w:r w:rsidR="00792821">
          <w:rPr>
            <w:rFonts w:asciiTheme="minorHAnsi" w:eastAsiaTheme="minorEastAsia" w:hAnsiTheme="minorHAnsi"/>
            <w:b w:val="0"/>
            <w:noProof/>
            <w:sz w:val="22"/>
            <w:lang w:eastAsia="en-US"/>
          </w:rPr>
          <w:tab/>
        </w:r>
        <w:r w:rsidR="00792821" w:rsidRPr="004F3D75">
          <w:rPr>
            <w:rStyle w:val="Hyperlink"/>
            <w:noProof/>
          </w:rP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hyperlink>
    </w:p>
    <w:p w14:paraId="2A5EDA53" w14:textId="1B618E84" w:rsidR="00792821" w:rsidRDefault="002F6D4B">
      <w:pPr>
        <w:pStyle w:val="TableofFigures"/>
        <w:tabs>
          <w:tab w:val="right" w:leader="dot" w:pos="9629"/>
        </w:tabs>
        <w:rPr>
          <w:rFonts w:asciiTheme="minorHAnsi" w:eastAsiaTheme="minorEastAsia" w:hAnsiTheme="minorHAnsi"/>
          <w:b w:val="0"/>
          <w:noProof/>
          <w:sz w:val="22"/>
          <w:lang w:eastAsia="en-US"/>
        </w:rPr>
      </w:pPr>
      <w:hyperlink w:anchor="_Toc83990427" w:history="1">
        <w:r w:rsidR="00792821" w:rsidRPr="004F3D75">
          <w:rPr>
            <w:rStyle w:val="Hyperlink"/>
            <w:noProof/>
          </w:rPr>
          <w:t>Observation 8</w:t>
        </w:r>
        <w:r w:rsidR="00792821">
          <w:rPr>
            <w:rFonts w:asciiTheme="minorHAnsi" w:eastAsiaTheme="minorEastAsia" w:hAnsiTheme="minorHAnsi"/>
            <w:b w:val="0"/>
            <w:noProof/>
            <w:sz w:val="22"/>
            <w:lang w:eastAsia="en-US"/>
          </w:rPr>
          <w:tab/>
        </w:r>
        <w:r w:rsidR="00792821" w:rsidRPr="004F3D75">
          <w:rPr>
            <w:rStyle w:val="Hyperlink"/>
            <w:noProof/>
          </w:rPr>
          <w:t xml:space="preserve">A first approach to define the UE PDCCH processing capabilities when PDCCH monitoring per multiple slots is deployed for larger SCS is to scale the UE PDCCH processing capabilities per </w:t>
        </w:r>
        <m:oMath>
          <m:r>
            <m:rPr>
              <m:sty m:val="bi"/>
            </m:rPr>
            <w:rPr>
              <w:rStyle w:val="Hyperlink"/>
              <w:rFonts w:ascii="Cambria Math" w:hAnsi="Cambria Math"/>
              <w:noProof/>
            </w:rPr>
            <m:t>X</m:t>
          </m:r>
        </m:oMath>
        <w:r w:rsidR="00792821" w:rsidRPr="004F3D75">
          <w:rPr>
            <w:rStyle w:val="Hyperlink"/>
            <w:noProof/>
          </w:rPr>
          <w:t xml:space="preserve"> slots with the window size </w:t>
        </w:r>
        <m:oMath>
          <m:r>
            <m:rPr>
              <m:sty m:val="bi"/>
            </m:rPr>
            <w:rPr>
              <w:rStyle w:val="Hyperlink"/>
              <w:rFonts w:ascii="Cambria Math" w:hAnsi="Cambria Math"/>
              <w:noProof/>
            </w:rPr>
            <m:t>X</m:t>
          </m:r>
        </m:oMath>
        <w:r w:rsidR="00792821" w:rsidRPr="004F3D75">
          <w:rPr>
            <w:rStyle w:val="Hyperlink"/>
            <w:noProof/>
          </w:rPr>
          <w:t xml:space="preserve">. That is, the bundled UE PDCCH processing capabilities </w:t>
        </w:r>
        <w:r w:rsidR="00792821">
          <w:t xml:space="preserve">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X</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≅X×</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sidR="00792821">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X</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X</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sidR="00792821" w:rsidRPr="004F3D75">
          <w:rPr>
            <w:rStyle w:val="Hyperlink"/>
            <w:noProof/>
          </w:rPr>
          <w:t>.</w:t>
        </w:r>
      </w:hyperlink>
    </w:p>
    <w:p w14:paraId="13EA5C3A" w14:textId="57C6D89C" w:rsidR="00792821" w:rsidRDefault="002F6D4B">
      <w:pPr>
        <w:pStyle w:val="TableofFigures"/>
        <w:tabs>
          <w:tab w:val="right" w:leader="dot" w:pos="9629"/>
        </w:tabs>
        <w:rPr>
          <w:rFonts w:asciiTheme="minorHAnsi" w:eastAsiaTheme="minorEastAsia" w:hAnsiTheme="minorHAnsi"/>
          <w:b w:val="0"/>
          <w:noProof/>
          <w:sz w:val="22"/>
          <w:lang w:eastAsia="en-US"/>
        </w:rPr>
      </w:pPr>
      <w:hyperlink w:anchor="_Toc83990428" w:history="1">
        <w:r w:rsidR="00792821" w:rsidRPr="004F3D75">
          <w:rPr>
            <w:rStyle w:val="Hyperlink"/>
            <w:noProof/>
          </w:rPr>
          <w:t>Observation 9</w:t>
        </w:r>
        <w:r w:rsidR="00792821">
          <w:rPr>
            <w:rFonts w:asciiTheme="minorHAnsi" w:eastAsiaTheme="minorEastAsia" w:hAnsiTheme="minorHAnsi"/>
            <w:b w:val="0"/>
            <w:noProof/>
            <w:sz w:val="22"/>
            <w:lang w:eastAsia="en-US"/>
          </w:rPr>
          <w:tab/>
        </w:r>
        <w:r w:rsidR="00792821" w:rsidRPr="004F3D75">
          <w:rPr>
            <w:rStyle w:val="Hyperlink"/>
            <w:noProof/>
          </w:rPr>
          <w:t xml:space="preserve">A second approach to define the bundled UE PDCCH processing capabilities when PDCCH monitoring per multiple slots is deployed for larger SCS with a PDCCH monitoring frequency equal to that of 120 kHz SCS is to maintain the same UE processing capabilitiesper-slot as in a 120 kHz SCS system. That is, the bundled UE PDCCH processing capabilities </w:t>
        </w:r>
        <w:r w:rsidR="00792821">
          <w:t xml:space="preserve">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00792821" w:rsidRPr="00527D78">
          <w:rPr>
            <w:rFonts w:eastAsiaTheme="minorEastAsia"/>
          </w:rPr>
          <w:t xml:space="preserve">, </w:t>
        </w:r>
        <w:r w:rsidR="00792821">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00792821" w:rsidRPr="004F3D75">
          <w:rPr>
            <w:rStyle w:val="Hyperlink"/>
            <w:noProof/>
          </w:rPr>
          <w:t>.</w:t>
        </w:r>
      </w:hyperlink>
    </w:p>
    <w:p w14:paraId="31CCC653" w14:textId="20E0C7C8" w:rsidR="00394451" w:rsidRDefault="00D3526E" w:rsidP="00394451">
      <w:pPr>
        <w:pStyle w:val="BodyText"/>
      </w:pPr>
      <w:r w:rsidRPr="00D3526E">
        <w:fldChar w:fldCharType="end"/>
      </w:r>
      <w:r w:rsidR="00394451" w:rsidRPr="00CE0424">
        <w:t xml:space="preserve">Based on the discussion in </w:t>
      </w:r>
      <w:r w:rsidR="00394451">
        <w:t xml:space="preserve">the previous </w:t>
      </w:r>
      <w:r w:rsidR="00394451" w:rsidRPr="00CE0424">
        <w:t>section</w:t>
      </w:r>
      <w:r w:rsidR="00394451">
        <w:t>s</w:t>
      </w:r>
      <w:r w:rsidR="00394451" w:rsidRPr="00CE0424">
        <w:t xml:space="preserve"> we propose the following:</w:t>
      </w:r>
    </w:p>
    <w:p w14:paraId="4A90415A" w14:textId="3D8510E3" w:rsidR="00C96D5D" w:rsidRDefault="00394451">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3990560" w:history="1">
        <w:r w:rsidR="00C96D5D" w:rsidRPr="00C4090E">
          <w:rPr>
            <w:rStyle w:val="Hyperlink"/>
            <w:noProof/>
          </w:rPr>
          <w:t>Proposal 1</w:t>
        </w:r>
        <w:r w:rsidR="00C96D5D">
          <w:rPr>
            <w:rFonts w:asciiTheme="minorHAnsi" w:eastAsiaTheme="minorEastAsia" w:hAnsiTheme="minorHAnsi"/>
            <w:b w:val="0"/>
            <w:noProof/>
            <w:sz w:val="22"/>
            <w:lang w:eastAsia="en-US"/>
          </w:rPr>
          <w:tab/>
        </w:r>
        <w:r w:rsidR="00C96D5D" w:rsidRPr="00C4090E">
          <w:rPr>
            <w:rStyle w:val="Hyperlink"/>
            <w:noProof/>
            <w:lang w:val="en-GB" w:eastAsia="ja-JP"/>
          </w:rPr>
          <w:t xml:space="preserve">The BD/CCE budget per X-slot window is the default PDCCH monitoring budget per X=4 slots for a UE operating with 480 kHz SCS and per X=8 slots for a UE operating with 960 kHz SCS. </w:t>
        </w:r>
        <w:r w:rsidR="00C96D5D">
          <w:rPr>
            <w:rStyle w:val="Hyperlink"/>
            <w:noProof/>
            <w:lang w:val="en-GB" w:eastAsia="ja-JP"/>
          </w:rPr>
          <w:br/>
        </w:r>
        <w:r w:rsidR="00C96D5D" w:rsidRPr="00C4090E">
          <w:rPr>
            <w:rStyle w:val="Hyperlink"/>
            <w:noProof/>
            <w:lang w:val="en-GB" w:eastAsia="ja-JP"/>
          </w:rPr>
          <w:t xml:space="preserve">That is, the PDCCH monitoring budget per X slots is the shared resource for monitoring both </w:t>
        </w:r>
        <w:r w:rsidR="00C96D5D" w:rsidRPr="00C4090E">
          <w:rPr>
            <w:rStyle w:val="Hyperlink"/>
            <w:noProof/>
            <w:lang w:eastAsia="ja-JP"/>
          </w:rPr>
          <w:t>(1) type 1 CSS with dedicated RRC configuration, type 3 CSS, and UE-SS; and (2) type 1 CSS without dedicated RRC configuration and for type 0, 0A, and 2 CSS.</w:t>
        </w:r>
      </w:hyperlink>
    </w:p>
    <w:p w14:paraId="1B27F6D5" w14:textId="04A958FF"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1" w:history="1">
        <w:r w:rsidR="00C96D5D" w:rsidRPr="00C4090E">
          <w:rPr>
            <w:rStyle w:val="Hyperlink"/>
            <w:noProof/>
          </w:rPr>
          <w:t>Proposal 2</w:t>
        </w:r>
        <w:r w:rsidR="00C96D5D">
          <w:rPr>
            <w:rFonts w:asciiTheme="minorHAnsi" w:eastAsiaTheme="minorEastAsia" w:hAnsiTheme="minorHAnsi"/>
            <w:b w:val="0"/>
            <w:noProof/>
            <w:sz w:val="22"/>
            <w:lang w:eastAsia="en-US"/>
          </w:rPr>
          <w:tab/>
        </w:r>
        <w:r w:rsidR="00C96D5D" w:rsidRPr="00C4090E">
          <w:rPr>
            <w:rStyle w:val="Hyperlink"/>
            <w:noProof/>
            <w:lang w:val="en-GB" w:eastAsia="ja-JP"/>
          </w:rPr>
          <w:t xml:space="preserve">For operation with 480/960 kHz SCS, the </w:t>
        </w:r>
        <w:r w:rsidR="00C96D5D" w:rsidRPr="00C4090E">
          <w:rPr>
            <w:rStyle w:val="Hyperlink"/>
            <w:noProof/>
            <w:lang w:val="x-none" w:eastAsia="ja-JP"/>
          </w:rPr>
          <w:t xml:space="preserve">restriction of monitoring occasions within </w:t>
        </w:r>
        <w:r w:rsidR="00C96D5D" w:rsidRPr="00C4090E">
          <w:rPr>
            <w:rStyle w:val="Hyperlink"/>
            <w:noProof/>
            <w:lang w:eastAsia="ja-JP"/>
          </w:rPr>
          <w:t xml:space="preserve">Y slots/symbols per </w:t>
        </w:r>
        <w:r w:rsidR="00C96D5D" w:rsidRPr="00C4090E">
          <w:rPr>
            <w:rStyle w:val="Hyperlink"/>
            <w:noProof/>
            <w:lang w:val="x-none" w:eastAsia="ja-JP"/>
          </w:rPr>
          <w:t>X-slot window</w:t>
        </w:r>
        <w:r w:rsidR="00C96D5D" w:rsidRPr="00C4090E">
          <w:rPr>
            <w:rStyle w:val="Hyperlink"/>
            <w:noProof/>
            <w:lang w:eastAsia="ja-JP"/>
          </w:rPr>
          <w:t xml:space="preserve"> is applicable to type 1 CSS with dedicated RRC configuration, type 3 CSS, and UE-SS.</w:t>
        </w:r>
      </w:hyperlink>
    </w:p>
    <w:p w14:paraId="67351AC0" w14:textId="54C8FC54"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2" w:history="1">
        <w:r w:rsidR="00C96D5D" w:rsidRPr="00C4090E">
          <w:rPr>
            <w:rStyle w:val="Hyperlink"/>
            <w:noProof/>
          </w:rPr>
          <w:t>Proposal 3</w:t>
        </w:r>
        <w:r w:rsidR="00C96D5D">
          <w:rPr>
            <w:rFonts w:asciiTheme="minorHAnsi" w:eastAsiaTheme="minorEastAsia" w:hAnsiTheme="minorHAnsi"/>
            <w:b w:val="0"/>
            <w:noProof/>
            <w:sz w:val="22"/>
            <w:lang w:eastAsia="en-US"/>
          </w:rPr>
          <w:tab/>
        </w:r>
        <w:r w:rsidR="00C96D5D" w:rsidRPr="00C4090E">
          <w:rPr>
            <w:rStyle w:val="Hyperlink"/>
            <w:noProof/>
            <w:lang w:val="en-GB" w:eastAsia="ja-JP"/>
          </w:rPr>
          <w:t xml:space="preserve">For operation with 480/960 kHz SCS, the </w:t>
        </w:r>
        <w:r w:rsidR="00C96D5D" w:rsidRPr="00C4090E">
          <w:rPr>
            <w:rStyle w:val="Hyperlink"/>
            <w:noProof/>
            <w:lang w:val="x-none" w:eastAsia="ja-JP"/>
          </w:rPr>
          <w:t xml:space="preserve">restriction of monitoring occasions within </w:t>
        </w:r>
        <w:r w:rsidR="00C96D5D" w:rsidRPr="00C4090E">
          <w:rPr>
            <w:rStyle w:val="Hyperlink"/>
            <w:noProof/>
            <w:lang w:eastAsia="ja-JP"/>
          </w:rPr>
          <w:t xml:space="preserve">Y slots/symbols per </w:t>
        </w:r>
        <w:r w:rsidR="00C96D5D" w:rsidRPr="00C4090E">
          <w:rPr>
            <w:rStyle w:val="Hyperlink"/>
            <w:noProof/>
            <w:lang w:val="x-none" w:eastAsia="ja-JP"/>
          </w:rPr>
          <w:t>X-slot window</w:t>
        </w:r>
        <w:r w:rsidR="00C96D5D" w:rsidRPr="00C4090E">
          <w:rPr>
            <w:rStyle w:val="Hyperlink"/>
            <w:noProof/>
            <w:lang w:eastAsia="ja-JP"/>
          </w:rPr>
          <w:t xml:space="preserve"> is not applicable to type 1 CSS without dedicated RRC configuration and for type 0, 0A, and 2 CSS. </w:t>
        </w:r>
        <w:r w:rsidR="00C96D5D">
          <w:rPr>
            <w:rStyle w:val="Hyperlink"/>
            <w:noProof/>
            <w:lang w:eastAsia="ja-JP"/>
          </w:rPr>
          <w:br/>
        </w:r>
        <w:r w:rsidR="00C96D5D" w:rsidRPr="00C4090E">
          <w:rPr>
            <w:rStyle w:val="Hyperlink"/>
            <w:noProof/>
          </w:rPr>
          <w:t xml:space="preserve">That is, for type 1 CSS without dedicated RRC configuration and for type 0, 0A, and </w:t>
        </w:r>
        <w:r w:rsidR="00C96D5D" w:rsidRPr="00C4090E">
          <w:rPr>
            <w:rStyle w:val="Hyperlink"/>
            <w:noProof/>
          </w:rPr>
          <w:lastRenderedPageBreak/>
          <w:t>2 CSS, the monitoring occasion can be within any single span of three consecutive OFDM symbols within any slot (same as Rel-15 FG 3-1).</w:t>
        </w:r>
      </w:hyperlink>
    </w:p>
    <w:p w14:paraId="7B501BA0" w14:textId="34E59D4C"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3" w:history="1">
        <w:r w:rsidR="00C96D5D" w:rsidRPr="00C4090E">
          <w:rPr>
            <w:rStyle w:val="Hyperlink"/>
            <w:noProof/>
          </w:rPr>
          <w:t>Proposal 4</w:t>
        </w:r>
        <w:r w:rsidR="00C96D5D">
          <w:rPr>
            <w:rFonts w:asciiTheme="minorHAnsi" w:eastAsiaTheme="minorEastAsia" w:hAnsiTheme="minorHAnsi"/>
            <w:b w:val="0"/>
            <w:noProof/>
            <w:sz w:val="22"/>
            <w:lang w:eastAsia="en-US"/>
          </w:rPr>
          <w:tab/>
        </w:r>
        <w:r w:rsidR="00C96D5D" w:rsidRPr="00C4090E">
          <w:rPr>
            <w:rStyle w:val="Hyperlink"/>
            <w:noProof/>
          </w:rPr>
          <w:t xml:space="preserve">For the fixed window </w:t>
        </w:r>
        <w:r w:rsidR="00C96D5D" w:rsidRPr="00C4090E">
          <w:rPr>
            <w:rStyle w:val="Hyperlink"/>
            <w:noProof/>
            <w:lang w:val="en-GB" w:eastAsia="ja-JP"/>
          </w:rPr>
          <w:t xml:space="preserve">multi-slot PDCCH monitoring Alt 1 </w:t>
        </w:r>
        <w:r w:rsidR="00C96D5D" w:rsidRPr="00C4090E">
          <w:rPr>
            <w:rStyle w:val="Hyperlink"/>
            <w:noProof/>
          </w:rPr>
          <w:t xml:space="preserve">with 480/960 kHz SCS, </w:t>
        </w:r>
        <w:r w:rsidR="00C96D5D" w:rsidRPr="00C4090E">
          <w:rPr>
            <w:rStyle w:val="Hyperlink"/>
            <w:noProof/>
            <w:lang w:val="en-GB" w:eastAsia="ja-JP"/>
          </w:rPr>
          <w:t xml:space="preserve">the BD/CCE budget for an X-slot window is allocated for monitoring CSS located within the X slots, with the remaining budget utilized for monitoring USS according to ascending USS index.  </w:t>
        </w:r>
        <w:r w:rsidR="00C96D5D">
          <w:rPr>
            <w:rStyle w:val="Hyperlink"/>
            <w:noProof/>
            <w:lang w:val="en-GB" w:eastAsia="ja-JP"/>
          </w:rPr>
          <w:br/>
        </w:r>
        <w:r w:rsidR="00C96D5D" w:rsidRPr="00C4090E">
          <w:rPr>
            <w:rStyle w:val="Hyperlink"/>
            <w:noProof/>
            <w:lang w:val="en-GB" w:eastAsia="ja-JP"/>
          </w:rPr>
          <w:t xml:space="preserve">The presence of </w:t>
        </w:r>
        <w:r w:rsidR="00C96D5D" w:rsidRPr="00C4090E">
          <w:rPr>
            <w:rStyle w:val="Hyperlink"/>
            <w:noProof/>
          </w:rPr>
          <w:t>type 1 CSS without dedicated RRC configuration and for type 0, 0A, and 2 CSS</w:t>
        </w:r>
        <w:r w:rsidR="00C96D5D" w:rsidRPr="00C4090E">
          <w:rPr>
            <w:rStyle w:val="Hyperlink"/>
            <w:noProof/>
            <w:lang w:val="en-GB" w:eastAsia="ja-JP"/>
          </w:rPr>
          <w:t xml:space="preserve"> within an X-slot window, regardless of where such a CSS locates within the X-slot window, has no </w:t>
        </w:r>
        <w:r w:rsidR="00C96D5D" w:rsidRPr="00C4090E">
          <w:rPr>
            <w:rStyle w:val="Hyperlink"/>
            <w:noProof/>
            <w:lang w:val="en-GB"/>
          </w:rPr>
          <w:t xml:space="preserve">impact </w:t>
        </w:r>
        <w:r w:rsidR="00C96D5D" w:rsidRPr="00C4090E">
          <w:rPr>
            <w:rStyle w:val="Hyperlink"/>
            <w:noProof/>
            <w:lang w:val="en-GB" w:eastAsia="ja-JP"/>
          </w:rPr>
          <w:t>on the BD/CCE budget for the next X-slot window.</w:t>
        </w:r>
      </w:hyperlink>
    </w:p>
    <w:p w14:paraId="4B40CE33" w14:textId="191A059E"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4" w:history="1">
        <w:r w:rsidR="00C96D5D" w:rsidRPr="00C4090E">
          <w:rPr>
            <w:rStyle w:val="Hyperlink"/>
            <w:noProof/>
          </w:rPr>
          <w:t>Proposal 5</w:t>
        </w:r>
        <w:r w:rsidR="00C96D5D">
          <w:rPr>
            <w:rFonts w:asciiTheme="minorHAnsi" w:eastAsiaTheme="minorEastAsia" w:hAnsiTheme="minorHAnsi"/>
            <w:b w:val="0"/>
            <w:noProof/>
            <w:sz w:val="22"/>
            <w:lang w:eastAsia="en-US"/>
          </w:rPr>
          <w:tab/>
        </w:r>
        <w:r w:rsidR="00C96D5D" w:rsidRPr="00C4090E">
          <w:rPr>
            <w:rStyle w:val="Hyperlink"/>
            <w:noProof/>
          </w:rPr>
          <w:t xml:space="preserve">For operation with 480/960 kHz SCS, </w:t>
        </w:r>
        <w:r w:rsidR="00C96D5D" w:rsidRPr="00C4090E">
          <w:rPr>
            <w:rStyle w:val="Hyperlink"/>
            <w:noProof/>
            <w:lang w:val="en-GB" w:eastAsia="ja-JP"/>
          </w:rPr>
          <w:t xml:space="preserve">multi-slot PDCCH monitoring other than X=4 for 480 kHz SCS and X=8 for 960 kHz SCS is deferred until RAN1 completes the details of multi-slot PDCCH monitoring with X=4 for 480 kHz SCS and X=8 for 960 kHz SCS including at least </w:t>
        </w:r>
        <w:r w:rsidR="00C96D5D">
          <w:rPr>
            <w:rStyle w:val="Hyperlink"/>
            <w:noProof/>
            <w:lang w:val="en-GB" w:eastAsia="ja-JP"/>
          </w:rPr>
          <w:br/>
        </w:r>
        <w:r w:rsidR="00C96D5D" w:rsidRPr="00C4090E">
          <w:rPr>
            <w:rStyle w:val="Hyperlink"/>
            <w:noProof/>
            <w:lang w:val="en-GB" w:eastAsia="ja-JP"/>
          </w:rPr>
          <w:t xml:space="preserve">(1) A decision on Alt-1 vs. Alt-2 multi-slot PDCCH monitoring? </w:t>
        </w:r>
        <w:r w:rsidR="00C96D5D">
          <w:rPr>
            <w:rStyle w:val="Hyperlink"/>
            <w:noProof/>
            <w:lang w:val="en-GB" w:eastAsia="ja-JP"/>
          </w:rPr>
          <w:br/>
        </w:r>
        <w:r w:rsidR="00C96D5D" w:rsidRPr="00C4090E">
          <w:rPr>
            <w:rStyle w:val="Hyperlink"/>
            <w:noProof/>
            <w:lang w:val="en-GB" w:eastAsia="ja-JP"/>
          </w:rPr>
          <w:t>(2) The minimum supported values of Y</w:t>
        </w:r>
        <w:r w:rsidR="00C96D5D" w:rsidRPr="00C4090E">
          <w:rPr>
            <w:rStyle w:val="Hyperlink"/>
            <w:noProof/>
            <w:lang w:eastAsia="ja-JP"/>
          </w:rPr>
          <w:t xml:space="preserve"> for the respective X values?</w:t>
        </w:r>
        <w:r w:rsidR="00C96D5D" w:rsidRPr="00C4090E">
          <w:rPr>
            <w:rStyle w:val="Hyperlink"/>
            <w:noProof/>
            <w:lang w:val="en-GB" w:eastAsia="ja-JP"/>
          </w:rPr>
          <w:t xml:space="preserve"> </w:t>
        </w:r>
        <w:r w:rsidR="00C96D5D">
          <w:rPr>
            <w:rStyle w:val="Hyperlink"/>
            <w:noProof/>
            <w:lang w:val="en-GB" w:eastAsia="ja-JP"/>
          </w:rPr>
          <w:br/>
        </w:r>
        <w:r w:rsidR="00C96D5D" w:rsidRPr="00C4090E">
          <w:rPr>
            <w:rStyle w:val="Hyperlink"/>
            <w:noProof/>
            <w:lang w:val="en-GB" w:eastAsia="ja-JP"/>
          </w:rPr>
          <w:t xml:space="preserve">(3) What symbols within the Y slots for PDCCH monitoring? </w:t>
        </w:r>
        <w:r w:rsidR="00C96D5D">
          <w:rPr>
            <w:rStyle w:val="Hyperlink"/>
            <w:noProof/>
            <w:lang w:val="en-GB" w:eastAsia="ja-JP"/>
          </w:rPr>
          <w:br/>
        </w:r>
        <w:r w:rsidR="00C96D5D" w:rsidRPr="00C4090E">
          <w:rPr>
            <w:rStyle w:val="Hyperlink"/>
            <w:noProof/>
            <w:lang w:val="en-GB" w:eastAsia="ja-JP"/>
          </w:rPr>
          <w:t>(4) The BD/CCE budget requirement for the X-slot window?</w:t>
        </w:r>
      </w:hyperlink>
    </w:p>
    <w:p w14:paraId="103344C9" w14:textId="52B42923"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5" w:history="1">
        <w:r w:rsidR="00C96D5D" w:rsidRPr="00C4090E">
          <w:rPr>
            <w:rStyle w:val="Hyperlink"/>
            <w:noProof/>
          </w:rPr>
          <w:t>Proposal 6</w:t>
        </w:r>
        <w:r w:rsidR="00C96D5D">
          <w:rPr>
            <w:rFonts w:asciiTheme="minorHAnsi" w:eastAsiaTheme="minorEastAsia" w:hAnsiTheme="minorHAnsi"/>
            <w:b w:val="0"/>
            <w:noProof/>
            <w:sz w:val="22"/>
            <w:lang w:eastAsia="en-US"/>
          </w:rPr>
          <w:tab/>
        </w:r>
        <w:r w:rsidR="00C96D5D" w:rsidRPr="00C4090E">
          <w:rPr>
            <w:rStyle w:val="Hyperlink"/>
            <w:noProof/>
          </w:rPr>
          <w:t>For operation with 480/960 kHz SCS, if the optional per</w:t>
        </w:r>
        <w:r w:rsidR="00C96D5D" w:rsidRPr="00C4090E">
          <w:rPr>
            <w:rStyle w:val="Hyperlink"/>
            <w:noProof/>
            <w:lang w:val="en-GB" w:eastAsia="ja-JP"/>
          </w:rPr>
          <w:t xml:space="preserve">-slot PDCCH monitoring is discussed, the discussion in RAN1 should start with defining the </w:t>
        </w:r>
        <w:r w:rsidR="00C96D5D" w:rsidRPr="00C4090E">
          <w:rPr>
            <w:rStyle w:val="Hyperlink"/>
            <w:noProof/>
            <w:lang w:eastAsia="ja-JP"/>
          </w:rPr>
          <w:t>BD/CCE budget for a slot while ensuring that Rel-15 Type0-PDCCH monitoring requirements can be met.</w:t>
        </w:r>
      </w:hyperlink>
    </w:p>
    <w:p w14:paraId="19E286B9" w14:textId="2B178A13"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6" w:history="1">
        <w:r w:rsidR="00C96D5D" w:rsidRPr="00C4090E">
          <w:rPr>
            <w:rStyle w:val="Hyperlink"/>
            <w:noProof/>
          </w:rPr>
          <w:t>Proposal 7</w:t>
        </w:r>
        <w:r w:rsidR="00C96D5D">
          <w:rPr>
            <w:rFonts w:asciiTheme="minorHAnsi" w:eastAsiaTheme="minorEastAsia" w:hAnsiTheme="minorHAnsi"/>
            <w:b w:val="0"/>
            <w:noProof/>
            <w:sz w:val="22"/>
            <w:lang w:eastAsia="en-US"/>
          </w:rPr>
          <w:tab/>
        </w:r>
        <w:r w:rsidR="00C96D5D" w:rsidRPr="00C4090E">
          <w:rPr>
            <w:rStyle w:val="Hyperlink"/>
            <w:noProof/>
          </w:rPr>
          <w:t>Multi-slot PDCCH monitoring window sizes X&gt;1 other than X=4 for 480 kHz SCS and X=8 for 960 kHz SCS are not supported for Rel-17.</w:t>
        </w:r>
      </w:hyperlink>
    </w:p>
    <w:p w14:paraId="2257276C" w14:textId="7013B54A"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7" w:history="1">
        <w:r w:rsidR="00C96D5D" w:rsidRPr="00C4090E">
          <w:rPr>
            <w:rStyle w:val="Hyperlink"/>
            <w:noProof/>
          </w:rPr>
          <w:t>Proposal 8</w:t>
        </w:r>
        <w:r w:rsidR="00C96D5D">
          <w:rPr>
            <w:rFonts w:asciiTheme="minorHAnsi" w:eastAsiaTheme="minorEastAsia" w:hAnsiTheme="minorHAnsi"/>
            <w:b w:val="0"/>
            <w:noProof/>
            <w:sz w:val="22"/>
            <w:lang w:eastAsia="en-US"/>
          </w:rPr>
          <w:tab/>
        </w:r>
        <w:r w:rsidR="00C96D5D" w:rsidRPr="00C4090E">
          <w:rPr>
            <w:rStyle w:val="Hyperlink"/>
            <w:noProof/>
          </w:rPr>
          <w:t>The PDCCH processing capability window for Alt 1 starts from the first symbol in an even frame to align with the TDD UL/DL configuration.</w:t>
        </w:r>
      </w:hyperlink>
    </w:p>
    <w:p w14:paraId="04902744" w14:textId="1A43D91F"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8" w:history="1">
        <w:r w:rsidR="00C96D5D" w:rsidRPr="00C4090E">
          <w:rPr>
            <w:rStyle w:val="Hyperlink"/>
            <w:noProof/>
          </w:rPr>
          <w:t>Proposal 9</w:t>
        </w:r>
        <w:r w:rsidR="00C96D5D">
          <w:rPr>
            <w:rFonts w:asciiTheme="minorHAnsi" w:eastAsiaTheme="minorEastAsia" w:hAnsiTheme="minorHAnsi"/>
            <w:b w:val="0"/>
            <w:noProof/>
            <w:sz w:val="22"/>
            <w:lang w:eastAsia="en-US"/>
          </w:rPr>
          <w:tab/>
        </w:r>
        <w:r w:rsidR="00C96D5D" w:rsidRPr="00C4090E">
          <w:rPr>
            <w:rStyle w:val="Hyperlink"/>
            <w:noProof/>
          </w:rPr>
          <w:t>In defining a solution for Rel-17 multi-slot PDCCH monitoring, both intra- and inter-slot monitoring aspects shall be addressed jointly:</w:t>
        </w:r>
      </w:hyperlink>
    </w:p>
    <w:p w14:paraId="293F04B1" w14:textId="24E5F075"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69" w:history="1">
        <w:r w:rsidR="00C96D5D" w:rsidRPr="00C4090E">
          <w:rPr>
            <w:rStyle w:val="Hyperlink"/>
            <w:rFonts w:ascii="Symbol" w:hAnsi="Symbol"/>
            <w:noProof/>
          </w:rPr>
          <w:t></w:t>
        </w:r>
        <w:r w:rsidR="00C96D5D">
          <w:rPr>
            <w:rFonts w:asciiTheme="minorHAnsi" w:eastAsiaTheme="minorEastAsia" w:hAnsiTheme="minorHAnsi"/>
            <w:b w:val="0"/>
            <w:noProof/>
            <w:sz w:val="22"/>
            <w:lang w:eastAsia="en-US"/>
          </w:rPr>
          <w:tab/>
        </w:r>
        <w:r w:rsidR="00C96D5D" w:rsidRPr="00C4090E">
          <w:rPr>
            <w:rStyle w:val="Hyperlink"/>
            <w:noProof/>
          </w:rPr>
          <w:t>In which slot(s) of a multi-slot span shall PDCCH be monitored?</w:t>
        </w:r>
      </w:hyperlink>
    </w:p>
    <w:p w14:paraId="71A3BB7C" w14:textId="40C27EA7"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0" w:history="1">
        <w:r w:rsidR="00C96D5D" w:rsidRPr="00C4090E">
          <w:rPr>
            <w:rStyle w:val="Hyperlink"/>
            <w:rFonts w:ascii="Symbol" w:hAnsi="Symbol"/>
            <w:noProof/>
          </w:rPr>
          <w:t></w:t>
        </w:r>
        <w:r w:rsidR="00C96D5D">
          <w:rPr>
            <w:rFonts w:asciiTheme="minorHAnsi" w:eastAsiaTheme="minorEastAsia" w:hAnsiTheme="minorHAnsi"/>
            <w:b w:val="0"/>
            <w:noProof/>
            <w:sz w:val="22"/>
            <w:lang w:eastAsia="en-US"/>
          </w:rPr>
          <w:tab/>
        </w:r>
        <w:r w:rsidR="00C96D5D" w:rsidRPr="00C4090E">
          <w:rPr>
            <w:rStyle w:val="Hyperlink"/>
            <w:noProof/>
          </w:rPr>
          <w:t>In which OFDM symbols of a monitored slot shall PDCCH be monitored?</w:t>
        </w:r>
      </w:hyperlink>
    </w:p>
    <w:p w14:paraId="315C854D" w14:textId="0798C984"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1" w:history="1">
        <w:r w:rsidR="00C96D5D" w:rsidRPr="00C4090E">
          <w:rPr>
            <w:rStyle w:val="Hyperlink"/>
            <w:noProof/>
          </w:rPr>
          <w:t>Proposal 10</w:t>
        </w:r>
        <w:r w:rsidR="00C96D5D">
          <w:rPr>
            <w:rFonts w:asciiTheme="minorHAnsi" w:eastAsiaTheme="minorEastAsia" w:hAnsiTheme="minorHAnsi"/>
            <w:b w:val="0"/>
            <w:noProof/>
            <w:sz w:val="22"/>
            <w:lang w:eastAsia="en-US"/>
          </w:rPr>
          <w:tab/>
        </w:r>
        <w:r w:rsidR="00C96D5D" w:rsidRPr="00C4090E">
          <w:rPr>
            <w:rStyle w:val="Hyperlink"/>
            <w:rFonts w:cs="Arial"/>
            <w:noProof/>
            <w:lang w:eastAsia="x-none"/>
          </w:rPr>
          <w:t>Solutions to support multi-slot PDCCH monitoring for Rel-17 NR should consider the benefits and impacts to both UEs and gNBs</w:t>
        </w:r>
        <w:r w:rsidR="00C96D5D" w:rsidRPr="00C4090E">
          <w:rPr>
            <w:rStyle w:val="Hyperlink"/>
            <w:noProof/>
          </w:rPr>
          <w:t xml:space="preserve">. The solutions shall allow the network to distribute the </w:t>
        </w:r>
        <w:r w:rsidR="00C96D5D" w:rsidRPr="00C4090E">
          <w:rPr>
            <w:rStyle w:val="Hyperlink"/>
            <w:rFonts w:cs="Arial"/>
            <w:noProof/>
            <w:lang w:eastAsia="x-none"/>
          </w:rPr>
          <w:t xml:space="preserve">multi-slot </w:t>
        </w:r>
        <w:r w:rsidR="00C96D5D" w:rsidRPr="00C4090E">
          <w:rPr>
            <w:rStyle w:val="Hyperlink"/>
            <w:noProof/>
          </w:rPr>
          <w:t>PDCCH monitoring/processing loads for different types of UEs flexibly across the multiple slots.</w:t>
        </w:r>
      </w:hyperlink>
    </w:p>
    <w:p w14:paraId="45729B30" w14:textId="0341B0BB"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2" w:history="1">
        <w:r w:rsidR="00C96D5D" w:rsidRPr="00C4090E">
          <w:rPr>
            <w:rStyle w:val="Hyperlink"/>
            <w:noProof/>
          </w:rPr>
          <w:t>Proposal 11</w:t>
        </w:r>
        <w:r w:rsidR="00C96D5D">
          <w:rPr>
            <w:rFonts w:asciiTheme="minorHAnsi" w:eastAsiaTheme="minorEastAsia" w:hAnsiTheme="minorHAnsi"/>
            <w:b w:val="0"/>
            <w:noProof/>
            <w:sz w:val="22"/>
            <w:lang w:eastAsia="en-US"/>
          </w:rPr>
          <w:tab/>
        </w:r>
        <w:r w:rsidR="00C96D5D" w:rsidRPr="00C4090E">
          <w:rPr>
            <w:rStyle w:val="Hyperlink"/>
            <w:rFonts w:cs="Arial"/>
            <w:noProof/>
            <w:lang w:eastAsia="x-none"/>
          </w:rPr>
          <w:t xml:space="preserve">For multi-slot PDCCH monitoring with 480/960 kHz SCS and X&gt;1, it is mandatory for the UE to support intra-slot PDCCH monitoring capability Case 2 if Y </w:t>
        </w:r>
        <w:r w:rsidR="00C96D5D" w:rsidRPr="00C4090E">
          <w:rPr>
            <w:rStyle w:val="Hyperlink"/>
            <w:rFonts w:ascii="Cambria Math" w:hAnsi="Cambria Math"/>
            <w:noProof/>
          </w:rPr>
          <w:t>≤</w:t>
        </w:r>
        <w:r w:rsidR="00C96D5D" w:rsidRPr="00C4090E">
          <w:rPr>
            <w:rStyle w:val="Hyperlink"/>
            <w:rFonts w:cs="Arial"/>
            <w:noProof/>
            <w:lang w:eastAsia="x-none"/>
          </w:rPr>
          <w:t xml:space="preserve"> 1 slot</w:t>
        </w:r>
        <w:r w:rsidR="00C96D5D" w:rsidRPr="00C4090E">
          <w:rPr>
            <w:rStyle w:val="Hyperlink"/>
            <w:noProof/>
          </w:rPr>
          <w:t>.</w:t>
        </w:r>
      </w:hyperlink>
    </w:p>
    <w:p w14:paraId="58B84D76" w14:textId="641B8925"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3" w:history="1">
        <w:r w:rsidR="00C96D5D" w:rsidRPr="00C4090E">
          <w:rPr>
            <w:rStyle w:val="Hyperlink"/>
            <w:noProof/>
          </w:rPr>
          <w:t>Proposal 12</w:t>
        </w:r>
        <w:r w:rsidR="00C96D5D">
          <w:rPr>
            <w:rFonts w:asciiTheme="minorHAnsi" w:eastAsiaTheme="minorEastAsia" w:hAnsiTheme="minorHAnsi"/>
            <w:b w:val="0"/>
            <w:noProof/>
            <w:sz w:val="22"/>
            <w:lang w:eastAsia="en-US"/>
          </w:rPr>
          <w:tab/>
        </w:r>
        <w:r w:rsidR="00C96D5D" w:rsidRPr="00C4090E">
          <w:rPr>
            <w:rStyle w:val="Hyperlink"/>
            <w:rFonts w:cs="Arial"/>
            <w:noProof/>
            <w:lang w:eastAsia="x-none"/>
          </w:rPr>
          <w:t xml:space="preserve">For multi-slot PDCCH monitoring with 480/960 kHz SCS and X&gt;1, intra-slot PDCCH monitoring capability Case 1-1 or Case 1-2 can be considered as the minimum UE requirement if Y </w:t>
        </w:r>
        <w:r w:rsidR="00C96D5D" w:rsidRPr="00C4090E">
          <w:rPr>
            <w:rStyle w:val="Hyperlink"/>
            <w:rFonts w:ascii="Cambria Math" w:hAnsi="Cambria Math"/>
            <w:noProof/>
          </w:rPr>
          <w:t>&gt;</w:t>
        </w:r>
        <w:r w:rsidR="00C96D5D" w:rsidRPr="00C4090E">
          <w:rPr>
            <w:rStyle w:val="Hyperlink"/>
            <w:rFonts w:cs="Arial"/>
            <w:noProof/>
            <w:lang w:eastAsia="x-none"/>
          </w:rPr>
          <w:t xml:space="preserve"> 1 slot</w:t>
        </w:r>
        <w:r w:rsidR="00C96D5D" w:rsidRPr="00C4090E">
          <w:rPr>
            <w:rStyle w:val="Hyperlink"/>
            <w:noProof/>
          </w:rPr>
          <w:t>.</w:t>
        </w:r>
      </w:hyperlink>
    </w:p>
    <w:p w14:paraId="31809D95" w14:textId="54ECDF39"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4" w:history="1">
        <w:r w:rsidR="00C96D5D" w:rsidRPr="00C4090E">
          <w:rPr>
            <w:rStyle w:val="Hyperlink"/>
            <w:noProof/>
          </w:rPr>
          <w:t>Proposal 13</w:t>
        </w:r>
        <w:r w:rsidR="00C96D5D">
          <w:rPr>
            <w:rFonts w:asciiTheme="minorHAnsi" w:eastAsiaTheme="minorEastAsia" w:hAnsiTheme="minorHAnsi"/>
            <w:b w:val="0"/>
            <w:noProof/>
            <w:sz w:val="22"/>
            <w:lang w:eastAsia="en-US"/>
          </w:rPr>
          <w:tab/>
        </w:r>
        <w:r w:rsidR="00C96D5D" w:rsidRPr="00C4090E">
          <w:rPr>
            <w:rStyle w:val="Hyperlink"/>
            <w:noProof/>
          </w:rPr>
          <w:t>For multi-slot PDCCH monitoring Alt 1 with 480/960 kHz SCS, the BD/CCE budget for slot group is clarified as follows:</w:t>
        </w:r>
      </w:hyperlink>
    </w:p>
    <w:p w14:paraId="2E2A1E51" w14:textId="0E2F399B"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5" w:history="1">
        <w:r w:rsidR="00C96D5D" w:rsidRPr="00C4090E">
          <w:rPr>
            <w:rStyle w:val="Hyperlink"/>
            <w:rFonts w:ascii="Symbol" w:hAnsi="Symbol"/>
            <w:noProof/>
          </w:rPr>
          <w:t></w:t>
        </w:r>
        <w:r w:rsidR="00C96D5D">
          <w:rPr>
            <w:rFonts w:asciiTheme="minorHAnsi" w:eastAsiaTheme="minorEastAsia" w:hAnsiTheme="minorHAnsi"/>
            <w:b w:val="0"/>
            <w:noProof/>
            <w:sz w:val="22"/>
            <w:lang w:eastAsia="en-US"/>
          </w:rPr>
          <w:tab/>
        </w:r>
        <w:r w:rsidR="00C96D5D" w:rsidRPr="00C4090E">
          <w:rPr>
            <w:rStyle w:val="Hyperlink"/>
            <w:noProof/>
          </w:rPr>
          <w:t xml:space="preserve">The capability indicates the BD/CCE budget within </w:t>
        </w:r>
        <w:r w:rsidR="00C96D5D" w:rsidRPr="00C96D5D">
          <w:rPr>
            <w:rStyle w:val="Hyperlink"/>
            <w:strike/>
            <w:noProof/>
          </w:rPr>
          <w:t>Y consecutive slots in</w:t>
        </w:r>
        <w:r w:rsidR="00C96D5D" w:rsidRPr="00C96D5D">
          <w:rPr>
            <w:rStyle w:val="Hyperlink"/>
            <w:noProof/>
          </w:rPr>
          <w:t xml:space="preserve"> </w:t>
        </w:r>
        <w:r w:rsidR="00C96D5D" w:rsidRPr="00C4090E">
          <w:rPr>
            <w:rStyle w:val="Hyperlink"/>
            <w:noProof/>
          </w:rPr>
          <w:t>each X-slot group for monitoring</w:t>
        </w:r>
      </w:hyperlink>
    </w:p>
    <w:p w14:paraId="20D9E451" w14:textId="51DF9E17"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6" w:history="1">
        <w:r w:rsidR="00C96D5D" w:rsidRPr="00C4090E">
          <w:rPr>
            <w:rStyle w:val="Hyperlink"/>
            <w:rFonts w:ascii="Symbol" w:hAnsi="Symbol"/>
            <w:noProof/>
          </w:rPr>
          <w:t></w:t>
        </w:r>
        <w:r w:rsidR="00C96D5D">
          <w:rPr>
            <w:rFonts w:asciiTheme="minorHAnsi" w:eastAsiaTheme="minorEastAsia" w:hAnsiTheme="minorHAnsi"/>
            <w:b w:val="0"/>
            <w:noProof/>
            <w:sz w:val="22"/>
            <w:lang w:eastAsia="en-US"/>
          </w:rPr>
          <w:tab/>
        </w:r>
        <w:r w:rsidR="00C96D5D" w:rsidRPr="00C4090E">
          <w:rPr>
            <w:rStyle w:val="Hyperlink"/>
            <w:noProof/>
          </w:rPr>
          <w:t>Type 1 CSS with dedicated RRC configuration, type 3 CSS, and UE-SS within Y consecutive slots</w:t>
        </w:r>
      </w:hyperlink>
    </w:p>
    <w:p w14:paraId="6218B790" w14:textId="1E16731D"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7" w:history="1">
        <w:r w:rsidR="00C96D5D" w:rsidRPr="00C4090E">
          <w:rPr>
            <w:rStyle w:val="Hyperlink"/>
            <w:rFonts w:ascii="Symbol" w:hAnsi="Symbol"/>
            <w:noProof/>
          </w:rPr>
          <w:t></w:t>
        </w:r>
        <w:r w:rsidR="00C96D5D">
          <w:rPr>
            <w:rFonts w:asciiTheme="minorHAnsi" w:eastAsiaTheme="minorEastAsia" w:hAnsiTheme="minorHAnsi"/>
            <w:b w:val="0"/>
            <w:noProof/>
            <w:sz w:val="22"/>
            <w:lang w:eastAsia="en-US"/>
          </w:rPr>
          <w:tab/>
        </w:r>
        <w:r w:rsidR="00C96D5D" w:rsidRPr="00C4090E">
          <w:rPr>
            <w:rStyle w:val="Hyperlink"/>
            <w:noProof/>
          </w:rPr>
          <w:t>The location of the Y slots within the X slots is maintained across different slot groups</w:t>
        </w:r>
      </w:hyperlink>
    </w:p>
    <w:p w14:paraId="6946FBBB" w14:textId="79DE111E"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8" w:history="1">
        <w:r w:rsidR="00C96D5D" w:rsidRPr="00C4090E">
          <w:rPr>
            <w:rStyle w:val="Hyperlink"/>
            <w:rFonts w:ascii="Symbol" w:hAnsi="Symbol"/>
            <w:noProof/>
          </w:rPr>
          <w:t></w:t>
        </w:r>
        <w:r w:rsidR="00C96D5D">
          <w:rPr>
            <w:rFonts w:asciiTheme="minorHAnsi" w:eastAsiaTheme="minorEastAsia" w:hAnsiTheme="minorHAnsi"/>
            <w:b w:val="0"/>
            <w:noProof/>
            <w:sz w:val="22"/>
            <w:lang w:eastAsia="en-US"/>
          </w:rPr>
          <w:tab/>
        </w:r>
        <w:r w:rsidR="00C96D5D" w:rsidRPr="00C4090E">
          <w:rPr>
            <w:rStyle w:val="Hyperlink"/>
            <w:noProof/>
          </w:rPr>
          <w:t>Type 1 CSS without dedicated RRC configuration and for type 0, 0A, and 2 CSS in any 3 consecutive symbols of a slot (as in Rel-15 FG 3-1)</w:t>
        </w:r>
      </w:hyperlink>
    </w:p>
    <w:p w14:paraId="63342EC4" w14:textId="595F3C81"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79" w:history="1">
        <w:r w:rsidR="00C96D5D" w:rsidRPr="00C4090E">
          <w:rPr>
            <w:rStyle w:val="Hyperlink"/>
            <w:noProof/>
          </w:rPr>
          <w:t>Proposal 14</w:t>
        </w:r>
        <w:r w:rsidR="00C96D5D">
          <w:rPr>
            <w:rFonts w:asciiTheme="minorHAnsi" w:eastAsiaTheme="minorEastAsia" w:hAnsiTheme="minorHAnsi"/>
            <w:b w:val="0"/>
            <w:noProof/>
            <w:sz w:val="22"/>
            <w:lang w:eastAsia="en-US"/>
          </w:rPr>
          <w:tab/>
        </w:r>
        <w:r w:rsidR="00C96D5D" w:rsidRPr="00C4090E">
          <w:rPr>
            <w:rStyle w:val="Hyperlink"/>
            <w:rFonts w:cs="Arial"/>
            <w:noProof/>
            <w:lang w:eastAsia="x-none"/>
          </w:rPr>
          <w:t xml:space="preserve">For multi-slot PDCCH monitoring Alt 1 with 480/960 kHz SCS, RAN1 to consider restricting </w:t>
        </w:r>
        <w:r w:rsidR="00C96D5D" w:rsidRPr="00C4090E">
          <w:rPr>
            <w:rStyle w:val="Hyperlink"/>
            <w:noProof/>
          </w:rPr>
          <w:t xml:space="preserve">Y slots to be at the beginning of each X-slot windows for </w:t>
        </w:r>
        <w:r w:rsidR="00C96D5D" w:rsidRPr="00C4090E">
          <w:rPr>
            <w:rStyle w:val="Hyperlink"/>
            <w:noProof/>
            <w:lang w:eastAsia="ja-JP"/>
          </w:rPr>
          <w:t>type 1 CSS with dedicated RRC configuration, type 3 CSS, and UE-SS</w:t>
        </w:r>
        <w:r w:rsidR="00C96D5D" w:rsidRPr="00C4090E">
          <w:rPr>
            <w:rStyle w:val="Hyperlink"/>
            <w:noProof/>
          </w:rPr>
          <w:t xml:space="preserve"> as an approach to simplify </w:t>
        </w:r>
        <w:r w:rsidR="00C96D5D" w:rsidRPr="00C4090E">
          <w:rPr>
            <w:rStyle w:val="Hyperlink"/>
            <w:rFonts w:cs="Arial"/>
            <w:noProof/>
            <w:lang w:eastAsia="x-none"/>
          </w:rPr>
          <w:t xml:space="preserve">multi-slot PDCCH monitoring </w:t>
        </w:r>
        <w:r w:rsidR="00C96D5D" w:rsidRPr="00C4090E">
          <w:rPr>
            <w:rStyle w:val="Hyperlink"/>
            <w:noProof/>
          </w:rPr>
          <w:t>configuration parameters and protocols as well as to reduce implementation complexity.</w:t>
        </w:r>
      </w:hyperlink>
    </w:p>
    <w:p w14:paraId="63F2FC61" w14:textId="7B31C365"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80" w:history="1">
        <w:r w:rsidR="00C96D5D" w:rsidRPr="00C4090E">
          <w:rPr>
            <w:rStyle w:val="Hyperlink"/>
            <w:noProof/>
          </w:rPr>
          <w:t>Proposal 15</w:t>
        </w:r>
        <w:r w:rsidR="00C96D5D">
          <w:rPr>
            <w:rFonts w:asciiTheme="minorHAnsi" w:eastAsiaTheme="minorEastAsia" w:hAnsiTheme="minorHAnsi"/>
            <w:b w:val="0"/>
            <w:noProof/>
            <w:sz w:val="22"/>
            <w:lang w:eastAsia="en-US"/>
          </w:rPr>
          <w:tab/>
        </w:r>
        <w:r w:rsidR="00C96D5D" w:rsidRPr="00C4090E">
          <w:rPr>
            <w:rStyle w:val="Hyperlink"/>
            <w:noProof/>
          </w:rPr>
          <w:t>RAN1 agrees to the following multi-slot PDCCH processing capability ranges for 480/960 kHz SCS as the starting point to progress the Rel-17 specification effort:</w:t>
        </w:r>
      </w:hyperlink>
    </w:p>
    <w:p w14:paraId="7BC8F3A5" w14:textId="145B6DF8"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81" w:history="1">
        <w:r w:rsidR="00C96D5D" w:rsidRPr="00C4090E">
          <w:rPr>
            <w:rStyle w:val="Hyperlink"/>
            <w:rFonts w:ascii="Symbol" w:hAnsi="Symbol"/>
            <w:noProof/>
          </w:rPr>
          <w:t></w:t>
        </w:r>
        <w:r w:rsidR="00C96D5D">
          <w:rPr>
            <w:rFonts w:asciiTheme="minorHAnsi" w:eastAsiaTheme="minorEastAsia" w:hAnsiTheme="minorHAnsi"/>
            <w:b w:val="0"/>
            <w:noProof/>
            <w:sz w:val="22"/>
            <w:lang w:eastAsia="en-US"/>
          </w:rPr>
          <w:tab/>
        </w:r>
        <w:r w:rsidR="00C96D5D" w:rsidRPr="00C4090E">
          <w:rPr>
            <w:rStyle w:val="Hyperlink"/>
            <w:noProof/>
          </w:rPr>
          <w:t xml:space="preserve">480 kHz SCS with window size of </w:t>
        </w:r>
        <w:r w:rsidR="00C96D5D">
          <w:rPr>
            <w:rFonts w:eastAsiaTheme="minorEastAsia"/>
          </w:rPr>
          <w:t xml:space="preserve">X=4: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sidR="00C96D5D">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hyperlink>
    </w:p>
    <w:p w14:paraId="6737FC0C" w14:textId="756DE79D" w:rsidR="00C96D5D" w:rsidRDefault="002F6D4B">
      <w:pPr>
        <w:pStyle w:val="TableofFigures"/>
        <w:tabs>
          <w:tab w:val="right" w:leader="dot" w:pos="9629"/>
        </w:tabs>
        <w:rPr>
          <w:rFonts w:asciiTheme="minorHAnsi" w:eastAsiaTheme="minorEastAsia" w:hAnsiTheme="minorHAnsi"/>
          <w:b w:val="0"/>
          <w:noProof/>
          <w:sz w:val="22"/>
          <w:lang w:eastAsia="en-US"/>
        </w:rPr>
      </w:pPr>
      <w:hyperlink w:anchor="_Toc83990582" w:history="1">
        <w:r w:rsidR="00C96D5D" w:rsidRPr="00C4090E">
          <w:rPr>
            <w:rStyle w:val="Hyperlink"/>
            <w:rFonts w:ascii="Symbol" w:hAnsi="Symbol"/>
            <w:noProof/>
          </w:rPr>
          <w:t></w:t>
        </w:r>
        <w:r w:rsidR="00C96D5D">
          <w:rPr>
            <w:rFonts w:asciiTheme="minorHAnsi" w:eastAsiaTheme="minorEastAsia" w:hAnsiTheme="minorHAnsi"/>
            <w:b w:val="0"/>
            <w:noProof/>
            <w:sz w:val="22"/>
            <w:lang w:eastAsia="en-US"/>
          </w:rPr>
          <w:tab/>
        </w:r>
        <w:r w:rsidR="00C96D5D" w:rsidRPr="00C4090E">
          <w:rPr>
            <w:rStyle w:val="Hyperlink"/>
            <w:noProof/>
          </w:rPr>
          <w:t xml:space="preserve">960 kHz SCS with window size of </w:t>
        </w:r>
        <w:r w:rsidR="00C96D5D">
          <w:rPr>
            <w:rFonts w:eastAsiaTheme="minorEastAsia"/>
          </w:rPr>
          <w:t xml:space="preserve">X=8: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sidR="00C96D5D">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hyperlink>
    </w:p>
    <w:p w14:paraId="322E8AFD" w14:textId="69CD42FB" w:rsidR="00394451" w:rsidRPr="00CE0424" w:rsidRDefault="00394451" w:rsidP="00394451">
      <w:pPr>
        <w:pStyle w:val="BodyText"/>
        <w:rPr>
          <w:b/>
          <w:bCs/>
        </w:rPr>
      </w:pPr>
      <w:r>
        <w:rPr>
          <w:b/>
          <w:bCs/>
        </w:rPr>
        <w:fldChar w:fldCharType="end"/>
      </w:r>
      <w:r w:rsidRPr="00CE0424">
        <w:rPr>
          <w:b/>
          <w:bCs/>
        </w:rPr>
        <w:t xml:space="preserve"> </w:t>
      </w:r>
    </w:p>
    <w:p w14:paraId="3E96C83A" w14:textId="77777777" w:rsidR="00394451" w:rsidRPr="00CE0424" w:rsidRDefault="00394451" w:rsidP="00394451">
      <w:pPr>
        <w:pStyle w:val="Heading1"/>
      </w:pPr>
      <w:bookmarkStart w:id="55" w:name="_In-sequence_SDU_delivery"/>
      <w:bookmarkStart w:id="56" w:name="_Toc67653049"/>
      <w:bookmarkEnd w:id="55"/>
      <w:r w:rsidRPr="00CE0424">
        <w:t>References</w:t>
      </w:r>
      <w:bookmarkEnd w:id="56"/>
    </w:p>
    <w:p w14:paraId="50096CA9" w14:textId="1DEA5D79" w:rsidR="007F69B7" w:rsidRPr="007F69B7" w:rsidRDefault="007F69B7" w:rsidP="007F69B7">
      <w:pPr>
        <w:pStyle w:val="Reference"/>
      </w:pPr>
      <w:bookmarkStart w:id="57" w:name="_Ref61437387"/>
      <w:bookmarkStart w:id="58" w:name="_Ref174151459"/>
      <w:bookmarkStart w:id="59" w:name="_Ref189809556"/>
      <w:r w:rsidRPr="007F69B7">
        <w:t>RP-</w:t>
      </w:r>
      <w:r w:rsidR="00240B19">
        <w:t>20</w:t>
      </w:r>
      <w:r w:rsidRPr="007F69B7">
        <w:t>29</w:t>
      </w:r>
      <w:r w:rsidR="00240B19">
        <w:t>25</w:t>
      </w:r>
      <w:r w:rsidRPr="007F69B7">
        <w:t xml:space="preserve">, </w:t>
      </w:r>
      <w:r w:rsidR="004D0756">
        <w:t>Revised</w:t>
      </w:r>
      <w:r w:rsidRPr="007F69B7">
        <w:t xml:space="preserve"> WID on Extending current NR operation to 71 GHz</w:t>
      </w:r>
      <w:bookmarkEnd w:id="57"/>
    </w:p>
    <w:p w14:paraId="4B7CFDEC" w14:textId="77777777" w:rsidR="00291B53" w:rsidRDefault="00291B53" w:rsidP="00394451">
      <w:pPr>
        <w:pStyle w:val="Reference"/>
      </w:pPr>
      <w:bookmarkStart w:id="60" w:name="_Ref60826533"/>
      <w:bookmarkEnd w:id="58"/>
      <w:bookmarkEnd w:id="59"/>
      <w:r>
        <w:t>RAN1 #10</w:t>
      </w:r>
      <w:r w:rsidR="008F7362">
        <w:t>4bis</w:t>
      </w:r>
      <w:r>
        <w:t>-e chairman’s notes</w:t>
      </w:r>
      <w:bookmarkEnd w:id="60"/>
    </w:p>
    <w:p w14:paraId="7C226F1B" w14:textId="04F5C990" w:rsidR="008F7362" w:rsidRDefault="008F7362" w:rsidP="00394451">
      <w:pPr>
        <w:pStyle w:val="Reference"/>
      </w:pPr>
      <w:bookmarkStart w:id="61" w:name="_Ref76731527"/>
      <w:r>
        <w:t xml:space="preserve">R1-2102704 </w:t>
      </w:r>
      <w:r w:rsidR="0096202E" w:rsidRPr="0096202E">
        <w:t>PDCCH monitoring enhancement for 52.6-71 GHz NR operation</w:t>
      </w:r>
      <w:r w:rsidR="0096202E">
        <w:t>, MediaTek Inc.</w:t>
      </w:r>
      <w:bookmarkEnd w:id="61"/>
    </w:p>
    <w:p w14:paraId="715CA09B" w14:textId="3148A813" w:rsidR="003A7EF3" w:rsidRDefault="006B125C" w:rsidP="002516C0">
      <w:pPr>
        <w:pStyle w:val="Reference"/>
      </w:pPr>
      <w:bookmarkStart w:id="62" w:name="_Ref83642650"/>
      <w:r w:rsidRPr="006B125C">
        <w:t>3GPP TS 38.822 “User Equipment (UE) feature list (Release 1</w:t>
      </w:r>
      <w:r w:rsidR="000C6B9A">
        <w:t>6</w:t>
      </w:r>
      <w:r w:rsidRPr="006B125C">
        <w:t>)”</w:t>
      </w:r>
      <w:bookmarkEnd w:id="62"/>
    </w:p>
    <w:p w14:paraId="4B64ADEE" w14:textId="704895A4" w:rsidR="0032578B" w:rsidRDefault="0032578B" w:rsidP="002516C0">
      <w:pPr>
        <w:pStyle w:val="Reference"/>
      </w:pPr>
      <w:bookmarkStart w:id="63" w:name="_Ref83729488"/>
      <w:r w:rsidRPr="0032578B">
        <w:t>R1-2107331</w:t>
      </w:r>
      <w:r>
        <w:t xml:space="preserve"> </w:t>
      </w:r>
      <w:r w:rsidR="00237946" w:rsidRPr="00237946">
        <w:t>PDCCH monitoring enhancements</w:t>
      </w:r>
      <w:r w:rsidR="008B5F9E">
        <w:t xml:space="preserve">, </w:t>
      </w:r>
      <w:r w:rsidR="008B5F9E" w:rsidRPr="008B5F9E">
        <w:t>Qualcomm Incorporated</w:t>
      </w:r>
      <w:bookmarkEnd w:id="63"/>
      <w:r w:rsidR="00237946">
        <w:t xml:space="preserve"> </w:t>
      </w:r>
    </w:p>
    <w:p w14:paraId="2BA1B289" w14:textId="0839A5D0" w:rsidR="00D8629A" w:rsidRDefault="00D8629A" w:rsidP="002516C0">
      <w:pPr>
        <w:pStyle w:val="Reference"/>
      </w:pPr>
      <w:bookmarkStart w:id="64" w:name="_Ref83891875"/>
      <w:r w:rsidRPr="00D8629A">
        <w:t>R1-2106580</w:t>
      </w:r>
      <w:r w:rsidRPr="00D8629A">
        <w:tab/>
        <w:t>Discussions on PDCCH monitoring enhancements for NR operation from 52.6GHz to 71GHz</w:t>
      </w:r>
      <w:r>
        <w:t>, vivo</w:t>
      </w:r>
      <w:bookmarkEnd w:id="64"/>
    </w:p>
    <w:p w14:paraId="71800B66" w14:textId="77777777" w:rsidR="003023CD" w:rsidRDefault="003023CD" w:rsidP="003023CD">
      <w:pPr>
        <w:pStyle w:val="Reference"/>
        <w:numPr>
          <w:ilvl w:val="0"/>
          <w:numId w:val="0"/>
        </w:numPr>
        <w:ind w:left="567" w:hanging="567"/>
      </w:pPr>
    </w:p>
    <w:sectPr w:rsidR="003023C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431D9" w14:textId="77777777" w:rsidR="002F6D4B" w:rsidRDefault="002F6D4B">
      <w:r>
        <w:separator/>
      </w:r>
    </w:p>
  </w:endnote>
  <w:endnote w:type="continuationSeparator" w:id="0">
    <w:p w14:paraId="7F8BDCF9" w14:textId="77777777" w:rsidR="002F6D4B" w:rsidRDefault="002F6D4B">
      <w:r>
        <w:continuationSeparator/>
      </w:r>
    </w:p>
  </w:endnote>
  <w:endnote w:type="continuationNotice" w:id="1">
    <w:p w14:paraId="7D835CD5" w14:textId="77777777" w:rsidR="002F6D4B" w:rsidRDefault="002F6D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DB40A" w14:textId="77777777" w:rsidR="002F6D4B" w:rsidRDefault="002F6D4B">
      <w:r>
        <w:separator/>
      </w:r>
    </w:p>
  </w:footnote>
  <w:footnote w:type="continuationSeparator" w:id="0">
    <w:p w14:paraId="658D2CAA" w14:textId="77777777" w:rsidR="002F6D4B" w:rsidRDefault="002F6D4B">
      <w:r>
        <w:continuationSeparator/>
      </w:r>
    </w:p>
  </w:footnote>
  <w:footnote w:type="continuationNotice" w:id="1">
    <w:p w14:paraId="73815D8F" w14:textId="77777777" w:rsidR="002F6D4B" w:rsidRDefault="002F6D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8AB8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FEE73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724CC"/>
    <w:multiLevelType w:val="hybridMultilevel"/>
    <w:tmpl w:val="AC34BD36"/>
    <w:lvl w:ilvl="0" w:tplc="76540594">
      <w:start w:val="1"/>
      <w:numFmt w:val="bullet"/>
      <w:lvlText w:val="—"/>
      <w:lvlJc w:val="left"/>
      <w:pPr>
        <w:tabs>
          <w:tab w:val="num" w:pos="-980"/>
        </w:tabs>
        <w:ind w:left="-980" w:hanging="360"/>
      </w:pPr>
      <w:rPr>
        <w:rFonts w:ascii="Ericsson Hilda Light" w:hAnsi="Ericsson Hilda Light" w:hint="default"/>
      </w:rPr>
    </w:lvl>
    <w:lvl w:ilvl="1" w:tplc="54409F78">
      <w:numFmt w:val="bullet"/>
      <w:lvlText w:val="—"/>
      <w:lvlJc w:val="left"/>
      <w:pPr>
        <w:tabs>
          <w:tab w:val="num" w:pos="-260"/>
        </w:tabs>
        <w:ind w:left="-260" w:hanging="360"/>
      </w:pPr>
      <w:rPr>
        <w:rFonts w:ascii="Ericsson Hilda Light" w:hAnsi="Ericsson Hilda Light" w:hint="default"/>
      </w:rPr>
    </w:lvl>
    <w:lvl w:ilvl="2" w:tplc="6A407256">
      <w:numFmt w:val="bullet"/>
      <w:lvlText w:val="—"/>
      <w:lvlJc w:val="left"/>
      <w:pPr>
        <w:tabs>
          <w:tab w:val="num" w:pos="460"/>
        </w:tabs>
        <w:ind w:left="460" w:hanging="360"/>
      </w:pPr>
      <w:rPr>
        <w:rFonts w:ascii="Ericsson Hilda Light" w:hAnsi="Ericsson Hilda Light" w:hint="default"/>
      </w:rPr>
    </w:lvl>
    <w:lvl w:ilvl="3" w:tplc="DB829670">
      <w:numFmt w:val="bullet"/>
      <w:lvlText w:val="—"/>
      <w:lvlJc w:val="left"/>
      <w:pPr>
        <w:tabs>
          <w:tab w:val="num" w:pos="1180"/>
        </w:tabs>
        <w:ind w:left="1180" w:hanging="360"/>
      </w:pPr>
      <w:rPr>
        <w:rFonts w:ascii="Ericsson Hilda Light" w:hAnsi="Ericsson Hilda Light" w:hint="default"/>
      </w:rPr>
    </w:lvl>
    <w:lvl w:ilvl="4" w:tplc="C52CC3EA" w:tentative="1">
      <w:start w:val="1"/>
      <w:numFmt w:val="bullet"/>
      <w:lvlText w:val="—"/>
      <w:lvlJc w:val="left"/>
      <w:pPr>
        <w:tabs>
          <w:tab w:val="num" w:pos="1900"/>
        </w:tabs>
        <w:ind w:left="1900" w:hanging="360"/>
      </w:pPr>
      <w:rPr>
        <w:rFonts w:ascii="Ericsson Hilda Light" w:hAnsi="Ericsson Hilda Light" w:hint="default"/>
      </w:rPr>
    </w:lvl>
    <w:lvl w:ilvl="5" w:tplc="A434F6DA" w:tentative="1">
      <w:start w:val="1"/>
      <w:numFmt w:val="bullet"/>
      <w:lvlText w:val="—"/>
      <w:lvlJc w:val="left"/>
      <w:pPr>
        <w:tabs>
          <w:tab w:val="num" w:pos="2620"/>
        </w:tabs>
        <w:ind w:left="2620" w:hanging="360"/>
      </w:pPr>
      <w:rPr>
        <w:rFonts w:ascii="Ericsson Hilda Light" w:hAnsi="Ericsson Hilda Light" w:hint="default"/>
      </w:rPr>
    </w:lvl>
    <w:lvl w:ilvl="6" w:tplc="D32E3C14" w:tentative="1">
      <w:start w:val="1"/>
      <w:numFmt w:val="bullet"/>
      <w:lvlText w:val="—"/>
      <w:lvlJc w:val="left"/>
      <w:pPr>
        <w:tabs>
          <w:tab w:val="num" w:pos="3340"/>
        </w:tabs>
        <w:ind w:left="3340" w:hanging="360"/>
      </w:pPr>
      <w:rPr>
        <w:rFonts w:ascii="Ericsson Hilda Light" w:hAnsi="Ericsson Hilda Light" w:hint="default"/>
      </w:rPr>
    </w:lvl>
    <w:lvl w:ilvl="7" w:tplc="3AB45464" w:tentative="1">
      <w:start w:val="1"/>
      <w:numFmt w:val="bullet"/>
      <w:lvlText w:val="—"/>
      <w:lvlJc w:val="left"/>
      <w:pPr>
        <w:tabs>
          <w:tab w:val="num" w:pos="4060"/>
        </w:tabs>
        <w:ind w:left="4060" w:hanging="360"/>
      </w:pPr>
      <w:rPr>
        <w:rFonts w:ascii="Ericsson Hilda Light" w:hAnsi="Ericsson Hilda Light" w:hint="default"/>
      </w:rPr>
    </w:lvl>
    <w:lvl w:ilvl="8" w:tplc="DB7CAE44" w:tentative="1">
      <w:start w:val="1"/>
      <w:numFmt w:val="bullet"/>
      <w:lvlText w:val="—"/>
      <w:lvlJc w:val="left"/>
      <w:pPr>
        <w:tabs>
          <w:tab w:val="num" w:pos="4780"/>
        </w:tabs>
        <w:ind w:left="4780" w:hanging="360"/>
      </w:pPr>
      <w:rPr>
        <w:rFonts w:ascii="Ericsson Hilda Light" w:hAnsi="Ericsson Hilda Light" w:hint="default"/>
      </w:rPr>
    </w:lvl>
  </w:abstractNum>
  <w:abstractNum w:abstractNumId="4" w15:restartNumberingAfterBreak="0">
    <w:nsid w:val="00E15E36"/>
    <w:multiLevelType w:val="hybridMultilevel"/>
    <w:tmpl w:val="F25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A00F2"/>
    <w:multiLevelType w:val="hybridMultilevel"/>
    <w:tmpl w:val="04CE8B28"/>
    <w:lvl w:ilvl="0" w:tplc="2384C506">
      <w:start w:val="1"/>
      <w:numFmt w:val="bullet"/>
      <w:lvlText w:val=""/>
      <w:lvlJc w:val="left"/>
      <w:pPr>
        <w:tabs>
          <w:tab w:val="num" w:pos="720"/>
        </w:tabs>
        <w:ind w:left="720" w:hanging="360"/>
      </w:pPr>
      <w:rPr>
        <w:rFonts w:ascii="Symbol" w:hAnsi="Symbol" w:hint="default"/>
      </w:rPr>
    </w:lvl>
    <w:lvl w:ilvl="1" w:tplc="16922352">
      <w:numFmt w:val="bullet"/>
      <w:lvlText w:val="o"/>
      <w:lvlJc w:val="left"/>
      <w:pPr>
        <w:tabs>
          <w:tab w:val="num" w:pos="1440"/>
        </w:tabs>
        <w:ind w:left="1440" w:hanging="360"/>
      </w:pPr>
      <w:rPr>
        <w:rFonts w:ascii="Courier New" w:hAnsi="Courier New" w:hint="default"/>
      </w:rPr>
    </w:lvl>
    <w:lvl w:ilvl="2" w:tplc="87D2F1D4">
      <w:numFmt w:val="bullet"/>
      <w:lvlText w:val=""/>
      <w:lvlJc w:val="left"/>
      <w:pPr>
        <w:tabs>
          <w:tab w:val="num" w:pos="2160"/>
        </w:tabs>
        <w:ind w:left="2160" w:hanging="360"/>
      </w:pPr>
      <w:rPr>
        <w:rFonts w:ascii="Wingdings" w:hAnsi="Wingdings" w:hint="default"/>
      </w:rPr>
    </w:lvl>
    <w:lvl w:ilvl="3" w:tplc="FBC69ACC">
      <w:start w:val="1"/>
      <w:numFmt w:val="bullet"/>
      <w:lvlText w:val=""/>
      <w:lvlJc w:val="left"/>
      <w:pPr>
        <w:tabs>
          <w:tab w:val="num" w:pos="2880"/>
        </w:tabs>
        <w:ind w:left="2880" w:hanging="360"/>
      </w:pPr>
      <w:rPr>
        <w:rFonts w:ascii="Symbol" w:hAnsi="Symbol" w:hint="default"/>
      </w:rPr>
    </w:lvl>
    <w:lvl w:ilvl="4" w:tplc="24067F66" w:tentative="1">
      <w:start w:val="1"/>
      <w:numFmt w:val="bullet"/>
      <w:lvlText w:val=""/>
      <w:lvlJc w:val="left"/>
      <w:pPr>
        <w:tabs>
          <w:tab w:val="num" w:pos="3600"/>
        </w:tabs>
        <w:ind w:left="3600" w:hanging="360"/>
      </w:pPr>
      <w:rPr>
        <w:rFonts w:ascii="Symbol" w:hAnsi="Symbol" w:hint="default"/>
      </w:rPr>
    </w:lvl>
    <w:lvl w:ilvl="5" w:tplc="1196E376" w:tentative="1">
      <w:start w:val="1"/>
      <w:numFmt w:val="bullet"/>
      <w:lvlText w:val=""/>
      <w:lvlJc w:val="left"/>
      <w:pPr>
        <w:tabs>
          <w:tab w:val="num" w:pos="4320"/>
        </w:tabs>
        <w:ind w:left="4320" w:hanging="360"/>
      </w:pPr>
      <w:rPr>
        <w:rFonts w:ascii="Symbol" w:hAnsi="Symbol" w:hint="default"/>
      </w:rPr>
    </w:lvl>
    <w:lvl w:ilvl="6" w:tplc="EAA08340" w:tentative="1">
      <w:start w:val="1"/>
      <w:numFmt w:val="bullet"/>
      <w:lvlText w:val=""/>
      <w:lvlJc w:val="left"/>
      <w:pPr>
        <w:tabs>
          <w:tab w:val="num" w:pos="5040"/>
        </w:tabs>
        <w:ind w:left="5040" w:hanging="360"/>
      </w:pPr>
      <w:rPr>
        <w:rFonts w:ascii="Symbol" w:hAnsi="Symbol" w:hint="default"/>
      </w:rPr>
    </w:lvl>
    <w:lvl w:ilvl="7" w:tplc="B9F68CBC" w:tentative="1">
      <w:start w:val="1"/>
      <w:numFmt w:val="bullet"/>
      <w:lvlText w:val=""/>
      <w:lvlJc w:val="left"/>
      <w:pPr>
        <w:tabs>
          <w:tab w:val="num" w:pos="5760"/>
        </w:tabs>
        <w:ind w:left="5760" w:hanging="360"/>
      </w:pPr>
      <w:rPr>
        <w:rFonts w:ascii="Symbol" w:hAnsi="Symbol" w:hint="default"/>
      </w:rPr>
    </w:lvl>
    <w:lvl w:ilvl="8" w:tplc="6DFE4C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76B5739"/>
    <w:multiLevelType w:val="hybridMultilevel"/>
    <w:tmpl w:val="B97E8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739B0"/>
    <w:multiLevelType w:val="hybridMultilevel"/>
    <w:tmpl w:val="CF3CB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F571E"/>
    <w:multiLevelType w:val="hybridMultilevel"/>
    <w:tmpl w:val="D7FA0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32C41F7"/>
    <w:multiLevelType w:val="hybridMultilevel"/>
    <w:tmpl w:val="D0E21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4F07DC"/>
    <w:multiLevelType w:val="hybridMultilevel"/>
    <w:tmpl w:val="477817B0"/>
    <w:lvl w:ilvl="0" w:tplc="2C32E75C">
      <w:start w:val="1"/>
      <w:numFmt w:val="bullet"/>
      <w:pStyle w:val="TOC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9404D"/>
    <w:multiLevelType w:val="hybridMultilevel"/>
    <w:tmpl w:val="044C3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863F2"/>
    <w:multiLevelType w:val="hybridMultilevel"/>
    <w:tmpl w:val="2C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70FE4"/>
    <w:multiLevelType w:val="hybridMultilevel"/>
    <w:tmpl w:val="BAF26950"/>
    <w:lvl w:ilvl="0" w:tplc="2BFEFF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7048A8"/>
    <w:multiLevelType w:val="hybridMultilevel"/>
    <w:tmpl w:val="1E2E0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A3AC3"/>
    <w:multiLevelType w:val="hybridMultilevel"/>
    <w:tmpl w:val="2D149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DBD6E24"/>
    <w:multiLevelType w:val="hybridMultilevel"/>
    <w:tmpl w:val="3222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14103"/>
    <w:multiLevelType w:val="hybridMultilevel"/>
    <w:tmpl w:val="97CCE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0405F7"/>
    <w:multiLevelType w:val="hybridMultilevel"/>
    <w:tmpl w:val="24D6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3E45A7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C15150"/>
    <w:multiLevelType w:val="hybridMultilevel"/>
    <w:tmpl w:val="4F806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9932B4"/>
    <w:multiLevelType w:val="hybridMultilevel"/>
    <w:tmpl w:val="BDCCD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0E18F5"/>
    <w:multiLevelType w:val="hybridMultilevel"/>
    <w:tmpl w:val="4A8C510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5917CB"/>
    <w:multiLevelType w:val="hybridMultilevel"/>
    <w:tmpl w:val="19203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571E4F"/>
    <w:multiLevelType w:val="hybridMultilevel"/>
    <w:tmpl w:val="E7762C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61724"/>
    <w:multiLevelType w:val="hybridMultilevel"/>
    <w:tmpl w:val="F3163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397133"/>
    <w:multiLevelType w:val="hybridMultilevel"/>
    <w:tmpl w:val="2106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383EFF"/>
    <w:multiLevelType w:val="hybridMultilevel"/>
    <w:tmpl w:val="1752F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FD857DC"/>
    <w:multiLevelType w:val="hybridMultilevel"/>
    <w:tmpl w:val="A1D846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2"/>
  </w:num>
  <w:num w:numId="4">
    <w:abstractNumId w:val="33"/>
  </w:num>
  <w:num w:numId="5">
    <w:abstractNumId w:val="34"/>
  </w:num>
  <w:num w:numId="6">
    <w:abstractNumId w:val="36"/>
  </w:num>
  <w:num w:numId="7">
    <w:abstractNumId w:val="17"/>
  </w:num>
  <w:num w:numId="8">
    <w:abstractNumId w:val="20"/>
  </w:num>
  <w:num w:numId="9">
    <w:abstractNumId w:val="11"/>
  </w:num>
  <w:num w:numId="10">
    <w:abstractNumId w:val="43"/>
  </w:num>
  <w:num w:numId="11">
    <w:abstractNumId w:val="23"/>
  </w:num>
  <w:num w:numId="12">
    <w:abstractNumId w:val="41"/>
  </w:num>
  <w:num w:numId="13">
    <w:abstractNumId w:val="39"/>
  </w:num>
  <w:num w:numId="14">
    <w:abstractNumId w:val="21"/>
  </w:num>
  <w:num w:numId="15">
    <w:abstractNumId w:val="38"/>
  </w:num>
  <w:num w:numId="16">
    <w:abstractNumId w:val="40"/>
  </w:num>
  <w:num w:numId="17">
    <w:abstractNumId w:val="24"/>
  </w:num>
  <w:num w:numId="18">
    <w:abstractNumId w:val="5"/>
  </w:num>
  <w:num w:numId="19">
    <w:abstractNumId w:val="8"/>
  </w:num>
  <w:num w:numId="20">
    <w:abstractNumId w:val="3"/>
  </w:num>
  <w:num w:numId="21">
    <w:abstractNumId w:val="9"/>
  </w:num>
  <w:num w:numId="22">
    <w:abstractNumId w:val="30"/>
  </w:num>
  <w:num w:numId="23">
    <w:abstractNumId w:val="32"/>
  </w:num>
  <w:num w:numId="24">
    <w:abstractNumId w:val="1"/>
  </w:num>
  <w:num w:numId="25">
    <w:abstractNumId w:val="0"/>
  </w:num>
  <w:num w:numId="26">
    <w:abstractNumId w:val="19"/>
  </w:num>
  <w:num w:numId="27">
    <w:abstractNumId w:val="28"/>
  </w:num>
  <w:num w:numId="28">
    <w:abstractNumId w:val="27"/>
  </w:num>
  <w:num w:numId="29">
    <w:abstractNumId w:val="22"/>
  </w:num>
  <w:num w:numId="30">
    <w:abstractNumId w:val="37"/>
  </w:num>
  <w:num w:numId="31">
    <w:abstractNumId w:val="4"/>
  </w:num>
  <w:num w:numId="32">
    <w:abstractNumId w:val="10"/>
  </w:num>
  <w:num w:numId="33">
    <w:abstractNumId w:val="12"/>
  </w:num>
  <w:num w:numId="34">
    <w:abstractNumId w:val="6"/>
  </w:num>
  <w:num w:numId="35">
    <w:abstractNumId w:val="16"/>
  </w:num>
  <w:num w:numId="36">
    <w:abstractNumId w:val="42"/>
  </w:num>
  <w:num w:numId="37">
    <w:abstractNumId w:val="15"/>
  </w:num>
  <w:num w:numId="38">
    <w:abstractNumId w:val="29"/>
  </w:num>
  <w:num w:numId="39">
    <w:abstractNumId w:val="44"/>
  </w:num>
  <w:num w:numId="40">
    <w:abstractNumId w:val="7"/>
  </w:num>
  <w:num w:numId="41">
    <w:abstractNumId w:val="26"/>
  </w:num>
  <w:num w:numId="42">
    <w:abstractNumId w:val="18"/>
  </w:num>
  <w:num w:numId="43">
    <w:abstractNumId w:val="35"/>
  </w:num>
  <w:num w:numId="44">
    <w:abstractNumId w:val="13"/>
  </w:num>
  <w:num w:numId="45">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B0"/>
    <w:rsid w:val="000006E1"/>
    <w:rsid w:val="00000B91"/>
    <w:rsid w:val="00000D01"/>
    <w:rsid w:val="0000172C"/>
    <w:rsid w:val="00001C60"/>
    <w:rsid w:val="00002A37"/>
    <w:rsid w:val="00002C0C"/>
    <w:rsid w:val="00003764"/>
    <w:rsid w:val="00003CC6"/>
    <w:rsid w:val="00004311"/>
    <w:rsid w:val="00005281"/>
    <w:rsid w:val="0000564C"/>
    <w:rsid w:val="00005C57"/>
    <w:rsid w:val="00006175"/>
    <w:rsid w:val="00006446"/>
    <w:rsid w:val="00006464"/>
    <w:rsid w:val="00006896"/>
    <w:rsid w:val="00006A09"/>
    <w:rsid w:val="00007CDC"/>
    <w:rsid w:val="00007FE6"/>
    <w:rsid w:val="00010463"/>
    <w:rsid w:val="00010C97"/>
    <w:rsid w:val="00011B28"/>
    <w:rsid w:val="000123B5"/>
    <w:rsid w:val="00012C3F"/>
    <w:rsid w:val="00013671"/>
    <w:rsid w:val="0001424A"/>
    <w:rsid w:val="0001426D"/>
    <w:rsid w:val="00014B54"/>
    <w:rsid w:val="00015582"/>
    <w:rsid w:val="00015BA5"/>
    <w:rsid w:val="00015D15"/>
    <w:rsid w:val="000160D3"/>
    <w:rsid w:val="0001641B"/>
    <w:rsid w:val="00016680"/>
    <w:rsid w:val="00016E27"/>
    <w:rsid w:val="000171DE"/>
    <w:rsid w:val="000172CF"/>
    <w:rsid w:val="00017F45"/>
    <w:rsid w:val="000203B7"/>
    <w:rsid w:val="000208FD"/>
    <w:rsid w:val="00021525"/>
    <w:rsid w:val="000219BC"/>
    <w:rsid w:val="0002429E"/>
    <w:rsid w:val="00024336"/>
    <w:rsid w:val="0002564D"/>
    <w:rsid w:val="00025E30"/>
    <w:rsid w:val="00025ECA"/>
    <w:rsid w:val="00026E84"/>
    <w:rsid w:val="000279DB"/>
    <w:rsid w:val="0003158D"/>
    <w:rsid w:val="00031EF1"/>
    <w:rsid w:val="00031F7A"/>
    <w:rsid w:val="0003207B"/>
    <w:rsid w:val="000325B8"/>
    <w:rsid w:val="0003294F"/>
    <w:rsid w:val="0003343F"/>
    <w:rsid w:val="00033DC4"/>
    <w:rsid w:val="00034C15"/>
    <w:rsid w:val="00034CB4"/>
    <w:rsid w:val="00034E8C"/>
    <w:rsid w:val="00036229"/>
    <w:rsid w:val="00036A8A"/>
    <w:rsid w:val="00036BA1"/>
    <w:rsid w:val="00037FD3"/>
    <w:rsid w:val="0004092B"/>
    <w:rsid w:val="00040D2D"/>
    <w:rsid w:val="00041101"/>
    <w:rsid w:val="0004112F"/>
    <w:rsid w:val="0004227A"/>
    <w:rsid w:val="000422E2"/>
    <w:rsid w:val="00042F22"/>
    <w:rsid w:val="00043525"/>
    <w:rsid w:val="000436B9"/>
    <w:rsid w:val="0004448E"/>
    <w:rsid w:val="000444EF"/>
    <w:rsid w:val="000444F6"/>
    <w:rsid w:val="0004499B"/>
    <w:rsid w:val="00050870"/>
    <w:rsid w:val="00051236"/>
    <w:rsid w:val="000513DC"/>
    <w:rsid w:val="00051C2E"/>
    <w:rsid w:val="00051C8E"/>
    <w:rsid w:val="00052884"/>
    <w:rsid w:val="00052A07"/>
    <w:rsid w:val="00052D8A"/>
    <w:rsid w:val="00052F71"/>
    <w:rsid w:val="000532DF"/>
    <w:rsid w:val="0005344B"/>
    <w:rsid w:val="000534E3"/>
    <w:rsid w:val="0005392E"/>
    <w:rsid w:val="00053CB1"/>
    <w:rsid w:val="00054065"/>
    <w:rsid w:val="0005552C"/>
    <w:rsid w:val="0005606A"/>
    <w:rsid w:val="00056542"/>
    <w:rsid w:val="00056F68"/>
    <w:rsid w:val="00057117"/>
    <w:rsid w:val="00057EAB"/>
    <w:rsid w:val="000600F4"/>
    <w:rsid w:val="00060E43"/>
    <w:rsid w:val="0006128E"/>
    <w:rsid w:val="00061511"/>
    <w:rsid w:val="000616E7"/>
    <w:rsid w:val="00062390"/>
    <w:rsid w:val="00062621"/>
    <w:rsid w:val="00062779"/>
    <w:rsid w:val="00062CD2"/>
    <w:rsid w:val="000641D2"/>
    <w:rsid w:val="0006487E"/>
    <w:rsid w:val="00064BA3"/>
    <w:rsid w:val="00065E1A"/>
    <w:rsid w:val="0006601C"/>
    <w:rsid w:val="000668C8"/>
    <w:rsid w:val="00066C5C"/>
    <w:rsid w:val="0007032B"/>
    <w:rsid w:val="00070B2D"/>
    <w:rsid w:val="0007391E"/>
    <w:rsid w:val="0007552B"/>
    <w:rsid w:val="000758E7"/>
    <w:rsid w:val="00075F91"/>
    <w:rsid w:val="00076309"/>
    <w:rsid w:val="00077635"/>
    <w:rsid w:val="00077E5F"/>
    <w:rsid w:val="00077FE7"/>
    <w:rsid w:val="0008036A"/>
    <w:rsid w:val="00081AE6"/>
    <w:rsid w:val="00082D05"/>
    <w:rsid w:val="0008380F"/>
    <w:rsid w:val="00084201"/>
    <w:rsid w:val="00085535"/>
    <w:rsid w:val="0008555D"/>
    <w:rsid w:val="000855EB"/>
    <w:rsid w:val="00085B52"/>
    <w:rsid w:val="000866F2"/>
    <w:rsid w:val="00086C89"/>
    <w:rsid w:val="000870B8"/>
    <w:rsid w:val="0008746D"/>
    <w:rsid w:val="00087D71"/>
    <w:rsid w:val="0009009F"/>
    <w:rsid w:val="00091557"/>
    <w:rsid w:val="00092082"/>
    <w:rsid w:val="000924A3"/>
    <w:rsid w:val="000924C1"/>
    <w:rsid w:val="000924F0"/>
    <w:rsid w:val="00093474"/>
    <w:rsid w:val="00093ADF"/>
    <w:rsid w:val="00093D35"/>
    <w:rsid w:val="0009510F"/>
    <w:rsid w:val="000958E6"/>
    <w:rsid w:val="00096693"/>
    <w:rsid w:val="00096820"/>
    <w:rsid w:val="00096868"/>
    <w:rsid w:val="00096C47"/>
    <w:rsid w:val="0009739A"/>
    <w:rsid w:val="000974C3"/>
    <w:rsid w:val="000977B6"/>
    <w:rsid w:val="000A1253"/>
    <w:rsid w:val="000A160D"/>
    <w:rsid w:val="000A19B4"/>
    <w:rsid w:val="000A1B7B"/>
    <w:rsid w:val="000A212A"/>
    <w:rsid w:val="000A220A"/>
    <w:rsid w:val="000A3142"/>
    <w:rsid w:val="000A33F7"/>
    <w:rsid w:val="000A3A5B"/>
    <w:rsid w:val="000A3E38"/>
    <w:rsid w:val="000A4CBE"/>
    <w:rsid w:val="000A5407"/>
    <w:rsid w:val="000A5595"/>
    <w:rsid w:val="000A56F2"/>
    <w:rsid w:val="000A5AAB"/>
    <w:rsid w:val="000A5F04"/>
    <w:rsid w:val="000A6340"/>
    <w:rsid w:val="000A6C69"/>
    <w:rsid w:val="000A7976"/>
    <w:rsid w:val="000B0077"/>
    <w:rsid w:val="000B0358"/>
    <w:rsid w:val="000B0E34"/>
    <w:rsid w:val="000B175A"/>
    <w:rsid w:val="000B1B53"/>
    <w:rsid w:val="000B2456"/>
    <w:rsid w:val="000B2719"/>
    <w:rsid w:val="000B2746"/>
    <w:rsid w:val="000B2806"/>
    <w:rsid w:val="000B2CC9"/>
    <w:rsid w:val="000B30A4"/>
    <w:rsid w:val="000B38DC"/>
    <w:rsid w:val="000B3A8F"/>
    <w:rsid w:val="000B4AB9"/>
    <w:rsid w:val="000B54B9"/>
    <w:rsid w:val="000B57D4"/>
    <w:rsid w:val="000B58C3"/>
    <w:rsid w:val="000B5C59"/>
    <w:rsid w:val="000B61E9"/>
    <w:rsid w:val="000B62E5"/>
    <w:rsid w:val="000B6B99"/>
    <w:rsid w:val="000B6FD6"/>
    <w:rsid w:val="000B7974"/>
    <w:rsid w:val="000B7C72"/>
    <w:rsid w:val="000C02E4"/>
    <w:rsid w:val="000C0CF8"/>
    <w:rsid w:val="000C0D85"/>
    <w:rsid w:val="000C0FB1"/>
    <w:rsid w:val="000C11F1"/>
    <w:rsid w:val="000C12BE"/>
    <w:rsid w:val="000C165A"/>
    <w:rsid w:val="000C16F8"/>
    <w:rsid w:val="000C2E19"/>
    <w:rsid w:val="000C3FB2"/>
    <w:rsid w:val="000C425F"/>
    <w:rsid w:val="000C427C"/>
    <w:rsid w:val="000C4E5A"/>
    <w:rsid w:val="000C4F1D"/>
    <w:rsid w:val="000C5581"/>
    <w:rsid w:val="000C56B0"/>
    <w:rsid w:val="000C5DC7"/>
    <w:rsid w:val="000C6B9A"/>
    <w:rsid w:val="000C7068"/>
    <w:rsid w:val="000C74A5"/>
    <w:rsid w:val="000C7A3E"/>
    <w:rsid w:val="000C7B9C"/>
    <w:rsid w:val="000D022C"/>
    <w:rsid w:val="000D0BA2"/>
    <w:rsid w:val="000D0C6B"/>
    <w:rsid w:val="000D0D07"/>
    <w:rsid w:val="000D0F80"/>
    <w:rsid w:val="000D1219"/>
    <w:rsid w:val="000D31E3"/>
    <w:rsid w:val="000D37C0"/>
    <w:rsid w:val="000D4138"/>
    <w:rsid w:val="000D4797"/>
    <w:rsid w:val="000D4C1A"/>
    <w:rsid w:val="000D5A2D"/>
    <w:rsid w:val="000D5D63"/>
    <w:rsid w:val="000D6031"/>
    <w:rsid w:val="000D6E89"/>
    <w:rsid w:val="000D75C7"/>
    <w:rsid w:val="000D7863"/>
    <w:rsid w:val="000E0527"/>
    <w:rsid w:val="000E1124"/>
    <w:rsid w:val="000E12D3"/>
    <w:rsid w:val="000E197C"/>
    <w:rsid w:val="000E1E92"/>
    <w:rsid w:val="000E2509"/>
    <w:rsid w:val="000E388D"/>
    <w:rsid w:val="000E4833"/>
    <w:rsid w:val="000E4FC0"/>
    <w:rsid w:val="000E5233"/>
    <w:rsid w:val="000E5982"/>
    <w:rsid w:val="000E6541"/>
    <w:rsid w:val="000E6ECB"/>
    <w:rsid w:val="000E6F9C"/>
    <w:rsid w:val="000E731E"/>
    <w:rsid w:val="000E7ED2"/>
    <w:rsid w:val="000F0350"/>
    <w:rsid w:val="000F06D6"/>
    <w:rsid w:val="000F0A15"/>
    <w:rsid w:val="000F0DA7"/>
    <w:rsid w:val="000F0EB1"/>
    <w:rsid w:val="000F1106"/>
    <w:rsid w:val="000F1477"/>
    <w:rsid w:val="000F1BF3"/>
    <w:rsid w:val="000F2561"/>
    <w:rsid w:val="000F2E56"/>
    <w:rsid w:val="000F37A8"/>
    <w:rsid w:val="000F3BE9"/>
    <w:rsid w:val="000F3C19"/>
    <w:rsid w:val="000F3F6C"/>
    <w:rsid w:val="000F437C"/>
    <w:rsid w:val="000F5442"/>
    <w:rsid w:val="000F59A1"/>
    <w:rsid w:val="000F684C"/>
    <w:rsid w:val="000F69C8"/>
    <w:rsid w:val="000F6DF3"/>
    <w:rsid w:val="000F731B"/>
    <w:rsid w:val="000F79E0"/>
    <w:rsid w:val="001005FF"/>
    <w:rsid w:val="00100793"/>
    <w:rsid w:val="00100C85"/>
    <w:rsid w:val="00101653"/>
    <w:rsid w:val="00101B29"/>
    <w:rsid w:val="00101F97"/>
    <w:rsid w:val="00102103"/>
    <w:rsid w:val="001025A2"/>
    <w:rsid w:val="00102767"/>
    <w:rsid w:val="00102C86"/>
    <w:rsid w:val="0010324A"/>
    <w:rsid w:val="00104108"/>
    <w:rsid w:val="00104B53"/>
    <w:rsid w:val="00104FD6"/>
    <w:rsid w:val="00104FFA"/>
    <w:rsid w:val="001053E9"/>
    <w:rsid w:val="001062FB"/>
    <w:rsid w:val="001063E6"/>
    <w:rsid w:val="00106E0D"/>
    <w:rsid w:val="00110407"/>
    <w:rsid w:val="00111011"/>
    <w:rsid w:val="0011113E"/>
    <w:rsid w:val="001121B4"/>
    <w:rsid w:val="00112E66"/>
    <w:rsid w:val="00112F27"/>
    <w:rsid w:val="001131DF"/>
    <w:rsid w:val="00113936"/>
    <w:rsid w:val="00113CF4"/>
    <w:rsid w:val="001141D4"/>
    <w:rsid w:val="001149AD"/>
    <w:rsid w:val="00114BC3"/>
    <w:rsid w:val="001153EA"/>
    <w:rsid w:val="00115643"/>
    <w:rsid w:val="0011570C"/>
    <w:rsid w:val="00115E2D"/>
    <w:rsid w:val="00116765"/>
    <w:rsid w:val="001169FF"/>
    <w:rsid w:val="00116AFD"/>
    <w:rsid w:val="00117A78"/>
    <w:rsid w:val="00117E0A"/>
    <w:rsid w:val="001202DD"/>
    <w:rsid w:val="001219F5"/>
    <w:rsid w:val="00121A20"/>
    <w:rsid w:val="00121DB4"/>
    <w:rsid w:val="00122223"/>
    <w:rsid w:val="00122755"/>
    <w:rsid w:val="0012295E"/>
    <w:rsid w:val="00122BB1"/>
    <w:rsid w:val="001233E2"/>
    <w:rsid w:val="0012377F"/>
    <w:rsid w:val="00123C95"/>
    <w:rsid w:val="00124152"/>
    <w:rsid w:val="00124314"/>
    <w:rsid w:val="00126728"/>
    <w:rsid w:val="00126B4A"/>
    <w:rsid w:val="00130061"/>
    <w:rsid w:val="00130A57"/>
    <w:rsid w:val="00130BA3"/>
    <w:rsid w:val="00130D60"/>
    <w:rsid w:val="001313CD"/>
    <w:rsid w:val="00131677"/>
    <w:rsid w:val="0013172E"/>
    <w:rsid w:val="00132FD0"/>
    <w:rsid w:val="001337B4"/>
    <w:rsid w:val="00133B1E"/>
    <w:rsid w:val="00133FAE"/>
    <w:rsid w:val="001344C0"/>
    <w:rsid w:val="001346FA"/>
    <w:rsid w:val="00134BB7"/>
    <w:rsid w:val="00135225"/>
    <w:rsid w:val="00135252"/>
    <w:rsid w:val="00135959"/>
    <w:rsid w:val="00136D7A"/>
    <w:rsid w:val="00137AB5"/>
    <w:rsid w:val="00137F0B"/>
    <w:rsid w:val="0014122C"/>
    <w:rsid w:val="001415B6"/>
    <w:rsid w:val="00141705"/>
    <w:rsid w:val="00142485"/>
    <w:rsid w:val="00142CF5"/>
    <w:rsid w:val="00142D9E"/>
    <w:rsid w:val="001432DB"/>
    <w:rsid w:val="00143A71"/>
    <w:rsid w:val="001440AF"/>
    <w:rsid w:val="001444E4"/>
    <w:rsid w:val="001458E1"/>
    <w:rsid w:val="00145B5C"/>
    <w:rsid w:val="0014664F"/>
    <w:rsid w:val="0014781E"/>
    <w:rsid w:val="00150B36"/>
    <w:rsid w:val="001511B4"/>
    <w:rsid w:val="00151BD1"/>
    <w:rsid w:val="00151E23"/>
    <w:rsid w:val="00152414"/>
    <w:rsid w:val="001525CD"/>
    <w:rsid w:val="001526E0"/>
    <w:rsid w:val="00152C73"/>
    <w:rsid w:val="00152F24"/>
    <w:rsid w:val="001531BD"/>
    <w:rsid w:val="001531D8"/>
    <w:rsid w:val="00153C41"/>
    <w:rsid w:val="00154667"/>
    <w:rsid w:val="00154B21"/>
    <w:rsid w:val="001551B5"/>
    <w:rsid w:val="00156937"/>
    <w:rsid w:val="00156BC9"/>
    <w:rsid w:val="00157202"/>
    <w:rsid w:val="00157430"/>
    <w:rsid w:val="0016102C"/>
    <w:rsid w:val="00161439"/>
    <w:rsid w:val="00161E98"/>
    <w:rsid w:val="001620FC"/>
    <w:rsid w:val="00162C48"/>
    <w:rsid w:val="00163B39"/>
    <w:rsid w:val="001646A6"/>
    <w:rsid w:val="00164D55"/>
    <w:rsid w:val="00165974"/>
    <w:rsid w:val="001659C1"/>
    <w:rsid w:val="0016726C"/>
    <w:rsid w:val="001675BB"/>
    <w:rsid w:val="0016791E"/>
    <w:rsid w:val="0017051C"/>
    <w:rsid w:val="00170A7E"/>
    <w:rsid w:val="001718B7"/>
    <w:rsid w:val="0017280A"/>
    <w:rsid w:val="00172B09"/>
    <w:rsid w:val="001734AA"/>
    <w:rsid w:val="0017391B"/>
    <w:rsid w:val="00173A8E"/>
    <w:rsid w:val="00174258"/>
    <w:rsid w:val="00174803"/>
    <w:rsid w:val="001748C2"/>
    <w:rsid w:val="00174D61"/>
    <w:rsid w:val="0017502C"/>
    <w:rsid w:val="001757F7"/>
    <w:rsid w:val="00177232"/>
    <w:rsid w:val="001773B9"/>
    <w:rsid w:val="0017785A"/>
    <w:rsid w:val="0018009F"/>
    <w:rsid w:val="0018036F"/>
    <w:rsid w:val="00180719"/>
    <w:rsid w:val="00180B51"/>
    <w:rsid w:val="0018143F"/>
    <w:rsid w:val="00181B7A"/>
    <w:rsid w:val="00181C59"/>
    <w:rsid w:val="00181FF8"/>
    <w:rsid w:val="00182B5B"/>
    <w:rsid w:val="00182EF9"/>
    <w:rsid w:val="00183F6D"/>
    <w:rsid w:val="00184217"/>
    <w:rsid w:val="001861F7"/>
    <w:rsid w:val="0018718F"/>
    <w:rsid w:val="0018722F"/>
    <w:rsid w:val="001874B0"/>
    <w:rsid w:val="00187826"/>
    <w:rsid w:val="00187902"/>
    <w:rsid w:val="00190409"/>
    <w:rsid w:val="00190AC1"/>
    <w:rsid w:val="00191EEA"/>
    <w:rsid w:val="0019341A"/>
    <w:rsid w:val="001936F3"/>
    <w:rsid w:val="00193F5D"/>
    <w:rsid w:val="001940C7"/>
    <w:rsid w:val="001945C3"/>
    <w:rsid w:val="001948F6"/>
    <w:rsid w:val="00194A48"/>
    <w:rsid w:val="00195319"/>
    <w:rsid w:val="00196264"/>
    <w:rsid w:val="00196915"/>
    <w:rsid w:val="00197DF9"/>
    <w:rsid w:val="001A01EB"/>
    <w:rsid w:val="001A069B"/>
    <w:rsid w:val="001A0802"/>
    <w:rsid w:val="001A18D8"/>
    <w:rsid w:val="001A1987"/>
    <w:rsid w:val="001A1FA3"/>
    <w:rsid w:val="001A2564"/>
    <w:rsid w:val="001A2C4A"/>
    <w:rsid w:val="001A3EB5"/>
    <w:rsid w:val="001A4F3E"/>
    <w:rsid w:val="001A4F98"/>
    <w:rsid w:val="001A5050"/>
    <w:rsid w:val="001A6173"/>
    <w:rsid w:val="001A64C5"/>
    <w:rsid w:val="001A6CBA"/>
    <w:rsid w:val="001B0D97"/>
    <w:rsid w:val="001B203A"/>
    <w:rsid w:val="001B227F"/>
    <w:rsid w:val="001B2DE8"/>
    <w:rsid w:val="001B2F23"/>
    <w:rsid w:val="001B3637"/>
    <w:rsid w:val="001B469D"/>
    <w:rsid w:val="001B5222"/>
    <w:rsid w:val="001B5A5D"/>
    <w:rsid w:val="001B5F29"/>
    <w:rsid w:val="001B6386"/>
    <w:rsid w:val="001B6EBF"/>
    <w:rsid w:val="001B7635"/>
    <w:rsid w:val="001B7A78"/>
    <w:rsid w:val="001B7F5D"/>
    <w:rsid w:val="001C0061"/>
    <w:rsid w:val="001C0145"/>
    <w:rsid w:val="001C05BC"/>
    <w:rsid w:val="001C105A"/>
    <w:rsid w:val="001C17CD"/>
    <w:rsid w:val="001C190F"/>
    <w:rsid w:val="001C1CE5"/>
    <w:rsid w:val="001C2423"/>
    <w:rsid w:val="001C2D56"/>
    <w:rsid w:val="001C2DEF"/>
    <w:rsid w:val="001C3153"/>
    <w:rsid w:val="001C3D2A"/>
    <w:rsid w:val="001C4A07"/>
    <w:rsid w:val="001C666F"/>
    <w:rsid w:val="001C6CC0"/>
    <w:rsid w:val="001C6E42"/>
    <w:rsid w:val="001C71C1"/>
    <w:rsid w:val="001C7A35"/>
    <w:rsid w:val="001C7D59"/>
    <w:rsid w:val="001D01B7"/>
    <w:rsid w:val="001D045C"/>
    <w:rsid w:val="001D1166"/>
    <w:rsid w:val="001D17CA"/>
    <w:rsid w:val="001D192F"/>
    <w:rsid w:val="001D1DD3"/>
    <w:rsid w:val="001D24E0"/>
    <w:rsid w:val="001D4276"/>
    <w:rsid w:val="001D5125"/>
    <w:rsid w:val="001D51BA"/>
    <w:rsid w:val="001D53E7"/>
    <w:rsid w:val="001D591C"/>
    <w:rsid w:val="001D609E"/>
    <w:rsid w:val="001D62E4"/>
    <w:rsid w:val="001D6342"/>
    <w:rsid w:val="001D6D53"/>
    <w:rsid w:val="001D7EB5"/>
    <w:rsid w:val="001D7EE0"/>
    <w:rsid w:val="001E178D"/>
    <w:rsid w:val="001E2821"/>
    <w:rsid w:val="001E292A"/>
    <w:rsid w:val="001E4709"/>
    <w:rsid w:val="001E4E93"/>
    <w:rsid w:val="001E5033"/>
    <w:rsid w:val="001E53A1"/>
    <w:rsid w:val="001E58E2"/>
    <w:rsid w:val="001E6007"/>
    <w:rsid w:val="001E662B"/>
    <w:rsid w:val="001E780F"/>
    <w:rsid w:val="001E7AED"/>
    <w:rsid w:val="001F0FD1"/>
    <w:rsid w:val="001F1035"/>
    <w:rsid w:val="001F22E1"/>
    <w:rsid w:val="001F29BD"/>
    <w:rsid w:val="001F351A"/>
    <w:rsid w:val="001F3916"/>
    <w:rsid w:val="001F481F"/>
    <w:rsid w:val="001F4E04"/>
    <w:rsid w:val="001F4F2D"/>
    <w:rsid w:val="001F54C5"/>
    <w:rsid w:val="001F662C"/>
    <w:rsid w:val="001F7074"/>
    <w:rsid w:val="00200490"/>
    <w:rsid w:val="00200730"/>
    <w:rsid w:val="00200A07"/>
    <w:rsid w:val="00201C71"/>
    <w:rsid w:val="00201F3A"/>
    <w:rsid w:val="00201FB6"/>
    <w:rsid w:val="00203455"/>
    <w:rsid w:val="00203F96"/>
    <w:rsid w:val="0020543C"/>
    <w:rsid w:val="00205582"/>
    <w:rsid w:val="002058F1"/>
    <w:rsid w:val="0020658D"/>
    <w:rsid w:val="002069B2"/>
    <w:rsid w:val="00206DFF"/>
    <w:rsid w:val="00207621"/>
    <w:rsid w:val="00207DB6"/>
    <w:rsid w:val="00207FA3"/>
    <w:rsid w:val="00210662"/>
    <w:rsid w:val="00210749"/>
    <w:rsid w:val="00211B93"/>
    <w:rsid w:val="00212218"/>
    <w:rsid w:val="00212A2F"/>
    <w:rsid w:val="00212D96"/>
    <w:rsid w:val="002149FC"/>
    <w:rsid w:val="00214A3F"/>
    <w:rsid w:val="00214DA8"/>
    <w:rsid w:val="00215235"/>
    <w:rsid w:val="00215423"/>
    <w:rsid w:val="002158FA"/>
    <w:rsid w:val="002159FC"/>
    <w:rsid w:val="002161D7"/>
    <w:rsid w:val="002164B5"/>
    <w:rsid w:val="002174FB"/>
    <w:rsid w:val="00217807"/>
    <w:rsid w:val="00220600"/>
    <w:rsid w:val="00220791"/>
    <w:rsid w:val="002212F6"/>
    <w:rsid w:val="002224DB"/>
    <w:rsid w:val="00223297"/>
    <w:rsid w:val="00223C1A"/>
    <w:rsid w:val="00223FCB"/>
    <w:rsid w:val="002241F8"/>
    <w:rsid w:val="002241FF"/>
    <w:rsid w:val="00224282"/>
    <w:rsid w:val="0022529E"/>
    <w:rsid w:val="002252C3"/>
    <w:rsid w:val="00225C54"/>
    <w:rsid w:val="002270A8"/>
    <w:rsid w:val="002276A7"/>
    <w:rsid w:val="00227744"/>
    <w:rsid w:val="0022775F"/>
    <w:rsid w:val="0023038B"/>
    <w:rsid w:val="00230765"/>
    <w:rsid w:val="00230D18"/>
    <w:rsid w:val="002319E4"/>
    <w:rsid w:val="00231F08"/>
    <w:rsid w:val="00232B96"/>
    <w:rsid w:val="002331EF"/>
    <w:rsid w:val="0023397F"/>
    <w:rsid w:val="0023478D"/>
    <w:rsid w:val="00234F4F"/>
    <w:rsid w:val="00235632"/>
    <w:rsid w:val="00235872"/>
    <w:rsid w:val="00236B44"/>
    <w:rsid w:val="00236E70"/>
    <w:rsid w:val="00237946"/>
    <w:rsid w:val="0024081D"/>
    <w:rsid w:val="00240B19"/>
    <w:rsid w:val="00240DB5"/>
    <w:rsid w:val="00241559"/>
    <w:rsid w:val="002426C2"/>
    <w:rsid w:val="00242BF6"/>
    <w:rsid w:val="002435B3"/>
    <w:rsid w:val="00243FFE"/>
    <w:rsid w:val="00244781"/>
    <w:rsid w:val="00244847"/>
    <w:rsid w:val="00244E30"/>
    <w:rsid w:val="002455A2"/>
    <w:rsid w:val="002458E7"/>
    <w:rsid w:val="002458EB"/>
    <w:rsid w:val="00245A73"/>
    <w:rsid w:val="00246E64"/>
    <w:rsid w:val="00246EBA"/>
    <w:rsid w:val="00246EFE"/>
    <w:rsid w:val="002474ED"/>
    <w:rsid w:val="00247AAC"/>
    <w:rsid w:val="0025003E"/>
    <w:rsid w:val="002500C8"/>
    <w:rsid w:val="00250E2B"/>
    <w:rsid w:val="002513AE"/>
    <w:rsid w:val="002516C0"/>
    <w:rsid w:val="00252200"/>
    <w:rsid w:val="002522C8"/>
    <w:rsid w:val="002526E6"/>
    <w:rsid w:val="00252B62"/>
    <w:rsid w:val="00253A18"/>
    <w:rsid w:val="00254B1B"/>
    <w:rsid w:val="00255528"/>
    <w:rsid w:val="002558B9"/>
    <w:rsid w:val="002563CA"/>
    <w:rsid w:val="00256760"/>
    <w:rsid w:val="002568C0"/>
    <w:rsid w:val="00256A57"/>
    <w:rsid w:val="00256AF6"/>
    <w:rsid w:val="00256B1A"/>
    <w:rsid w:val="00257543"/>
    <w:rsid w:val="002617E7"/>
    <w:rsid w:val="00261EC2"/>
    <w:rsid w:val="002620F9"/>
    <w:rsid w:val="002622B5"/>
    <w:rsid w:val="00262357"/>
    <w:rsid w:val="002626C6"/>
    <w:rsid w:val="002628E2"/>
    <w:rsid w:val="00263576"/>
    <w:rsid w:val="00263860"/>
    <w:rsid w:val="00263D07"/>
    <w:rsid w:val="00263DF7"/>
    <w:rsid w:val="00264228"/>
    <w:rsid w:val="00264334"/>
    <w:rsid w:val="00264457"/>
    <w:rsid w:val="0026463C"/>
    <w:rsid w:val="0026473E"/>
    <w:rsid w:val="002650F8"/>
    <w:rsid w:val="00265425"/>
    <w:rsid w:val="00265CA5"/>
    <w:rsid w:val="00266214"/>
    <w:rsid w:val="0026699B"/>
    <w:rsid w:val="00266EEE"/>
    <w:rsid w:val="002673C0"/>
    <w:rsid w:val="00267C83"/>
    <w:rsid w:val="00267D98"/>
    <w:rsid w:val="00270818"/>
    <w:rsid w:val="0027144F"/>
    <w:rsid w:val="00271813"/>
    <w:rsid w:val="002718F8"/>
    <w:rsid w:val="00271F3A"/>
    <w:rsid w:val="002729FD"/>
    <w:rsid w:val="00273278"/>
    <w:rsid w:val="002737F4"/>
    <w:rsid w:val="002742A8"/>
    <w:rsid w:val="0027530F"/>
    <w:rsid w:val="00275645"/>
    <w:rsid w:val="0027592C"/>
    <w:rsid w:val="002762C0"/>
    <w:rsid w:val="002765CF"/>
    <w:rsid w:val="0027664B"/>
    <w:rsid w:val="00276A93"/>
    <w:rsid w:val="00276B3A"/>
    <w:rsid w:val="00277FF6"/>
    <w:rsid w:val="002805F5"/>
    <w:rsid w:val="00280751"/>
    <w:rsid w:val="00281D02"/>
    <w:rsid w:val="00281D6F"/>
    <w:rsid w:val="00281FC3"/>
    <w:rsid w:val="0028280A"/>
    <w:rsid w:val="00283F4B"/>
    <w:rsid w:val="00284EE8"/>
    <w:rsid w:val="00285566"/>
    <w:rsid w:val="002856C8"/>
    <w:rsid w:val="00285E08"/>
    <w:rsid w:val="0028615B"/>
    <w:rsid w:val="00286ACD"/>
    <w:rsid w:val="0028772E"/>
    <w:rsid w:val="00287838"/>
    <w:rsid w:val="00290688"/>
    <w:rsid w:val="002907B5"/>
    <w:rsid w:val="00290D35"/>
    <w:rsid w:val="00291856"/>
    <w:rsid w:val="00291ABF"/>
    <w:rsid w:val="00291B53"/>
    <w:rsid w:val="00291C9C"/>
    <w:rsid w:val="00292EB7"/>
    <w:rsid w:val="0029349D"/>
    <w:rsid w:val="00293DBE"/>
    <w:rsid w:val="00293F52"/>
    <w:rsid w:val="002944EF"/>
    <w:rsid w:val="00294AF3"/>
    <w:rsid w:val="00294F9D"/>
    <w:rsid w:val="002951D4"/>
    <w:rsid w:val="00295441"/>
    <w:rsid w:val="00296227"/>
    <w:rsid w:val="0029677A"/>
    <w:rsid w:val="00296F44"/>
    <w:rsid w:val="00297372"/>
    <w:rsid w:val="00297481"/>
    <w:rsid w:val="0029777D"/>
    <w:rsid w:val="00297A0C"/>
    <w:rsid w:val="002A055E"/>
    <w:rsid w:val="002A1329"/>
    <w:rsid w:val="002A147A"/>
    <w:rsid w:val="002A14E4"/>
    <w:rsid w:val="002A1D4E"/>
    <w:rsid w:val="002A2869"/>
    <w:rsid w:val="002A2ABF"/>
    <w:rsid w:val="002A4046"/>
    <w:rsid w:val="002A4098"/>
    <w:rsid w:val="002A4FB4"/>
    <w:rsid w:val="002A5585"/>
    <w:rsid w:val="002A5973"/>
    <w:rsid w:val="002A60B2"/>
    <w:rsid w:val="002A7F1B"/>
    <w:rsid w:val="002B1347"/>
    <w:rsid w:val="002B2202"/>
    <w:rsid w:val="002B24D6"/>
    <w:rsid w:val="002B2945"/>
    <w:rsid w:val="002B3ADB"/>
    <w:rsid w:val="002B5821"/>
    <w:rsid w:val="002B5BD3"/>
    <w:rsid w:val="002B5BDD"/>
    <w:rsid w:val="002B5EBC"/>
    <w:rsid w:val="002B6213"/>
    <w:rsid w:val="002B63EB"/>
    <w:rsid w:val="002B7484"/>
    <w:rsid w:val="002B7CA5"/>
    <w:rsid w:val="002C05F9"/>
    <w:rsid w:val="002C0636"/>
    <w:rsid w:val="002C07F2"/>
    <w:rsid w:val="002C089B"/>
    <w:rsid w:val="002C1802"/>
    <w:rsid w:val="002C23A9"/>
    <w:rsid w:val="002C23E9"/>
    <w:rsid w:val="002C361A"/>
    <w:rsid w:val="002C3D47"/>
    <w:rsid w:val="002C41E6"/>
    <w:rsid w:val="002C437A"/>
    <w:rsid w:val="002C47DC"/>
    <w:rsid w:val="002C4C72"/>
    <w:rsid w:val="002C607D"/>
    <w:rsid w:val="002C72BD"/>
    <w:rsid w:val="002D0436"/>
    <w:rsid w:val="002D071A"/>
    <w:rsid w:val="002D08C0"/>
    <w:rsid w:val="002D0D13"/>
    <w:rsid w:val="002D0FC4"/>
    <w:rsid w:val="002D2441"/>
    <w:rsid w:val="002D2D12"/>
    <w:rsid w:val="002D34B2"/>
    <w:rsid w:val="002D3D47"/>
    <w:rsid w:val="002D3FCF"/>
    <w:rsid w:val="002D47A4"/>
    <w:rsid w:val="002D48B0"/>
    <w:rsid w:val="002D4F5B"/>
    <w:rsid w:val="002D5B37"/>
    <w:rsid w:val="002D6802"/>
    <w:rsid w:val="002D68E1"/>
    <w:rsid w:val="002D6C4C"/>
    <w:rsid w:val="002D6FE4"/>
    <w:rsid w:val="002D726F"/>
    <w:rsid w:val="002D7637"/>
    <w:rsid w:val="002D7EEA"/>
    <w:rsid w:val="002E0280"/>
    <w:rsid w:val="002E0FB4"/>
    <w:rsid w:val="002E144E"/>
    <w:rsid w:val="002E17F2"/>
    <w:rsid w:val="002E33A8"/>
    <w:rsid w:val="002E3D58"/>
    <w:rsid w:val="002E3FFC"/>
    <w:rsid w:val="002E451E"/>
    <w:rsid w:val="002E4F57"/>
    <w:rsid w:val="002E6260"/>
    <w:rsid w:val="002E7CAE"/>
    <w:rsid w:val="002F027D"/>
    <w:rsid w:val="002F127F"/>
    <w:rsid w:val="002F12C3"/>
    <w:rsid w:val="002F13E4"/>
    <w:rsid w:val="002F2771"/>
    <w:rsid w:val="002F37A9"/>
    <w:rsid w:val="002F3ACB"/>
    <w:rsid w:val="002F3D2D"/>
    <w:rsid w:val="002F491D"/>
    <w:rsid w:val="002F4C0A"/>
    <w:rsid w:val="002F4C68"/>
    <w:rsid w:val="002F529E"/>
    <w:rsid w:val="002F5459"/>
    <w:rsid w:val="002F6210"/>
    <w:rsid w:val="002F6D4B"/>
    <w:rsid w:val="003001A1"/>
    <w:rsid w:val="00301AB0"/>
    <w:rsid w:val="00301CE6"/>
    <w:rsid w:val="003021B7"/>
    <w:rsid w:val="003023CD"/>
    <w:rsid w:val="0030256B"/>
    <w:rsid w:val="0030268D"/>
    <w:rsid w:val="00302757"/>
    <w:rsid w:val="0030275E"/>
    <w:rsid w:val="00302BBB"/>
    <w:rsid w:val="003037B9"/>
    <w:rsid w:val="00303974"/>
    <w:rsid w:val="00303F42"/>
    <w:rsid w:val="0030425B"/>
    <w:rsid w:val="0030501F"/>
    <w:rsid w:val="00305A70"/>
    <w:rsid w:val="00305C09"/>
    <w:rsid w:val="00307BA1"/>
    <w:rsid w:val="00307D89"/>
    <w:rsid w:val="00310135"/>
    <w:rsid w:val="00311702"/>
    <w:rsid w:val="00311752"/>
    <w:rsid w:val="0031178A"/>
    <w:rsid w:val="00311C3C"/>
    <w:rsid w:val="00311E82"/>
    <w:rsid w:val="00312533"/>
    <w:rsid w:val="00313FD6"/>
    <w:rsid w:val="00314149"/>
    <w:rsid w:val="003143BD"/>
    <w:rsid w:val="00314DD9"/>
    <w:rsid w:val="00315363"/>
    <w:rsid w:val="0031582C"/>
    <w:rsid w:val="00315FB6"/>
    <w:rsid w:val="00317899"/>
    <w:rsid w:val="003203ED"/>
    <w:rsid w:val="003204E0"/>
    <w:rsid w:val="00321875"/>
    <w:rsid w:val="00322C9F"/>
    <w:rsid w:val="003231A1"/>
    <w:rsid w:val="00323472"/>
    <w:rsid w:val="003234FD"/>
    <w:rsid w:val="0032365E"/>
    <w:rsid w:val="003241FF"/>
    <w:rsid w:val="00324329"/>
    <w:rsid w:val="0032479F"/>
    <w:rsid w:val="00324D23"/>
    <w:rsid w:val="003253B6"/>
    <w:rsid w:val="003255F6"/>
    <w:rsid w:val="0032578B"/>
    <w:rsid w:val="00326802"/>
    <w:rsid w:val="003279DE"/>
    <w:rsid w:val="0033091A"/>
    <w:rsid w:val="00330D08"/>
    <w:rsid w:val="0033133E"/>
    <w:rsid w:val="00331751"/>
    <w:rsid w:val="00331AFD"/>
    <w:rsid w:val="003325A4"/>
    <w:rsid w:val="003328CA"/>
    <w:rsid w:val="0033296A"/>
    <w:rsid w:val="00332C63"/>
    <w:rsid w:val="00333473"/>
    <w:rsid w:val="00333946"/>
    <w:rsid w:val="00333BC4"/>
    <w:rsid w:val="00334579"/>
    <w:rsid w:val="00335858"/>
    <w:rsid w:val="00335ABF"/>
    <w:rsid w:val="003364B4"/>
    <w:rsid w:val="00336BDA"/>
    <w:rsid w:val="0033745D"/>
    <w:rsid w:val="003406EA"/>
    <w:rsid w:val="00342411"/>
    <w:rsid w:val="00342549"/>
    <w:rsid w:val="00342BC7"/>
    <w:rsid w:val="00342BD7"/>
    <w:rsid w:val="00343325"/>
    <w:rsid w:val="00343CC8"/>
    <w:rsid w:val="00344657"/>
    <w:rsid w:val="00345087"/>
    <w:rsid w:val="003450C3"/>
    <w:rsid w:val="003464D9"/>
    <w:rsid w:val="00346DB5"/>
    <w:rsid w:val="00346E89"/>
    <w:rsid w:val="0034730F"/>
    <w:rsid w:val="003474E0"/>
    <w:rsid w:val="003477B1"/>
    <w:rsid w:val="0034795D"/>
    <w:rsid w:val="00347FBC"/>
    <w:rsid w:val="00351198"/>
    <w:rsid w:val="00351900"/>
    <w:rsid w:val="00354F11"/>
    <w:rsid w:val="00355601"/>
    <w:rsid w:val="00356BA0"/>
    <w:rsid w:val="00357380"/>
    <w:rsid w:val="003574B6"/>
    <w:rsid w:val="003575C2"/>
    <w:rsid w:val="00357C5C"/>
    <w:rsid w:val="003602D9"/>
    <w:rsid w:val="003604CE"/>
    <w:rsid w:val="00360561"/>
    <w:rsid w:val="00360CAC"/>
    <w:rsid w:val="00360FD6"/>
    <w:rsid w:val="0036111F"/>
    <w:rsid w:val="00361B2F"/>
    <w:rsid w:val="003621A8"/>
    <w:rsid w:val="00362B21"/>
    <w:rsid w:val="00363396"/>
    <w:rsid w:val="00364C22"/>
    <w:rsid w:val="00365281"/>
    <w:rsid w:val="00365362"/>
    <w:rsid w:val="00365766"/>
    <w:rsid w:val="00365D42"/>
    <w:rsid w:val="00366297"/>
    <w:rsid w:val="003671FD"/>
    <w:rsid w:val="00367F6B"/>
    <w:rsid w:val="00370338"/>
    <w:rsid w:val="00370DD5"/>
    <w:rsid w:val="00370E47"/>
    <w:rsid w:val="00371752"/>
    <w:rsid w:val="0037214E"/>
    <w:rsid w:val="00372355"/>
    <w:rsid w:val="003725B7"/>
    <w:rsid w:val="00372B66"/>
    <w:rsid w:val="00372EB3"/>
    <w:rsid w:val="00373201"/>
    <w:rsid w:val="003742AC"/>
    <w:rsid w:val="003746CC"/>
    <w:rsid w:val="00375BE6"/>
    <w:rsid w:val="00377127"/>
    <w:rsid w:val="00377CE1"/>
    <w:rsid w:val="00380062"/>
    <w:rsid w:val="003800D9"/>
    <w:rsid w:val="00380A7E"/>
    <w:rsid w:val="00381664"/>
    <w:rsid w:val="003826D7"/>
    <w:rsid w:val="00383122"/>
    <w:rsid w:val="003850C5"/>
    <w:rsid w:val="00385BF0"/>
    <w:rsid w:val="00386836"/>
    <w:rsid w:val="00390055"/>
    <w:rsid w:val="00390B31"/>
    <w:rsid w:val="00391EFD"/>
    <w:rsid w:val="003939FF"/>
    <w:rsid w:val="00394451"/>
    <w:rsid w:val="003948E4"/>
    <w:rsid w:val="00395471"/>
    <w:rsid w:val="0039591B"/>
    <w:rsid w:val="00395A52"/>
    <w:rsid w:val="00395FF1"/>
    <w:rsid w:val="00396161"/>
    <w:rsid w:val="003963AA"/>
    <w:rsid w:val="003963E6"/>
    <w:rsid w:val="0039654C"/>
    <w:rsid w:val="00396784"/>
    <w:rsid w:val="00396A93"/>
    <w:rsid w:val="00396D18"/>
    <w:rsid w:val="003970C9"/>
    <w:rsid w:val="003A06F5"/>
    <w:rsid w:val="003A078A"/>
    <w:rsid w:val="003A15D5"/>
    <w:rsid w:val="003A165F"/>
    <w:rsid w:val="003A17BA"/>
    <w:rsid w:val="003A18AE"/>
    <w:rsid w:val="003A2223"/>
    <w:rsid w:val="003A2A0F"/>
    <w:rsid w:val="003A2D00"/>
    <w:rsid w:val="003A45A1"/>
    <w:rsid w:val="003A4826"/>
    <w:rsid w:val="003A4A18"/>
    <w:rsid w:val="003A52FA"/>
    <w:rsid w:val="003A559F"/>
    <w:rsid w:val="003A58B8"/>
    <w:rsid w:val="003A5B0A"/>
    <w:rsid w:val="003A60C9"/>
    <w:rsid w:val="003A6185"/>
    <w:rsid w:val="003A657B"/>
    <w:rsid w:val="003A6BAC"/>
    <w:rsid w:val="003A6C6C"/>
    <w:rsid w:val="003A6F2A"/>
    <w:rsid w:val="003A70A4"/>
    <w:rsid w:val="003A7218"/>
    <w:rsid w:val="003A7693"/>
    <w:rsid w:val="003A76C2"/>
    <w:rsid w:val="003A773E"/>
    <w:rsid w:val="003A7B3F"/>
    <w:rsid w:val="003A7E24"/>
    <w:rsid w:val="003A7EF3"/>
    <w:rsid w:val="003B1465"/>
    <w:rsid w:val="003B159C"/>
    <w:rsid w:val="003B21B4"/>
    <w:rsid w:val="003B2611"/>
    <w:rsid w:val="003B2924"/>
    <w:rsid w:val="003B2D4B"/>
    <w:rsid w:val="003B2F72"/>
    <w:rsid w:val="003B369F"/>
    <w:rsid w:val="003B36A3"/>
    <w:rsid w:val="003B3F2F"/>
    <w:rsid w:val="003B4071"/>
    <w:rsid w:val="003B504D"/>
    <w:rsid w:val="003B52F2"/>
    <w:rsid w:val="003B5575"/>
    <w:rsid w:val="003B64BB"/>
    <w:rsid w:val="003B6A09"/>
    <w:rsid w:val="003B6CB4"/>
    <w:rsid w:val="003B6F0C"/>
    <w:rsid w:val="003B7247"/>
    <w:rsid w:val="003B741F"/>
    <w:rsid w:val="003B7FE5"/>
    <w:rsid w:val="003C03D7"/>
    <w:rsid w:val="003C10FF"/>
    <w:rsid w:val="003C11C8"/>
    <w:rsid w:val="003C1F09"/>
    <w:rsid w:val="003C2702"/>
    <w:rsid w:val="003C3083"/>
    <w:rsid w:val="003C3C1B"/>
    <w:rsid w:val="003C69DC"/>
    <w:rsid w:val="003C6A3F"/>
    <w:rsid w:val="003C7478"/>
    <w:rsid w:val="003C7806"/>
    <w:rsid w:val="003C7D9D"/>
    <w:rsid w:val="003D0D7A"/>
    <w:rsid w:val="003D109F"/>
    <w:rsid w:val="003D1AC4"/>
    <w:rsid w:val="003D1BF0"/>
    <w:rsid w:val="003D1D40"/>
    <w:rsid w:val="003D2221"/>
    <w:rsid w:val="003D2478"/>
    <w:rsid w:val="003D3790"/>
    <w:rsid w:val="003D3C45"/>
    <w:rsid w:val="003D4A07"/>
    <w:rsid w:val="003D5B1F"/>
    <w:rsid w:val="003D5C6D"/>
    <w:rsid w:val="003D5CC5"/>
    <w:rsid w:val="003D60C5"/>
    <w:rsid w:val="003D6258"/>
    <w:rsid w:val="003D629D"/>
    <w:rsid w:val="003D651A"/>
    <w:rsid w:val="003D6B86"/>
    <w:rsid w:val="003D6D51"/>
    <w:rsid w:val="003D6FBD"/>
    <w:rsid w:val="003D7917"/>
    <w:rsid w:val="003D7F0C"/>
    <w:rsid w:val="003E0AB4"/>
    <w:rsid w:val="003E15FA"/>
    <w:rsid w:val="003E19BB"/>
    <w:rsid w:val="003E1F05"/>
    <w:rsid w:val="003E22F4"/>
    <w:rsid w:val="003E33A4"/>
    <w:rsid w:val="003E419F"/>
    <w:rsid w:val="003E4367"/>
    <w:rsid w:val="003E4391"/>
    <w:rsid w:val="003E44A9"/>
    <w:rsid w:val="003E51D0"/>
    <w:rsid w:val="003E55E4"/>
    <w:rsid w:val="003E5A3B"/>
    <w:rsid w:val="003E5FB9"/>
    <w:rsid w:val="003E6AA8"/>
    <w:rsid w:val="003E6BA4"/>
    <w:rsid w:val="003E6D92"/>
    <w:rsid w:val="003E74E3"/>
    <w:rsid w:val="003E7A8E"/>
    <w:rsid w:val="003F058F"/>
    <w:rsid w:val="003F05C7"/>
    <w:rsid w:val="003F09C1"/>
    <w:rsid w:val="003F1644"/>
    <w:rsid w:val="003F1DBF"/>
    <w:rsid w:val="003F299D"/>
    <w:rsid w:val="003F2CD4"/>
    <w:rsid w:val="003F31AE"/>
    <w:rsid w:val="003F335B"/>
    <w:rsid w:val="003F37CC"/>
    <w:rsid w:val="003F38A6"/>
    <w:rsid w:val="003F38EF"/>
    <w:rsid w:val="003F3B8D"/>
    <w:rsid w:val="003F68A4"/>
    <w:rsid w:val="003F6BBE"/>
    <w:rsid w:val="003F726D"/>
    <w:rsid w:val="003F755F"/>
    <w:rsid w:val="003F77F7"/>
    <w:rsid w:val="004000E8"/>
    <w:rsid w:val="00400798"/>
    <w:rsid w:val="004014CB"/>
    <w:rsid w:val="00402E2B"/>
    <w:rsid w:val="0040335E"/>
    <w:rsid w:val="00403D9F"/>
    <w:rsid w:val="004044A8"/>
    <w:rsid w:val="0040512B"/>
    <w:rsid w:val="00405CA5"/>
    <w:rsid w:val="0040632D"/>
    <w:rsid w:val="00406644"/>
    <w:rsid w:val="004068C6"/>
    <w:rsid w:val="00407998"/>
    <w:rsid w:val="00407CD3"/>
    <w:rsid w:val="00410134"/>
    <w:rsid w:val="00410402"/>
    <w:rsid w:val="00410ADF"/>
    <w:rsid w:val="00410B72"/>
    <w:rsid w:val="00410F18"/>
    <w:rsid w:val="004113F3"/>
    <w:rsid w:val="00411A50"/>
    <w:rsid w:val="00412551"/>
    <w:rsid w:val="0041263E"/>
    <w:rsid w:val="00413AAC"/>
    <w:rsid w:val="00413E92"/>
    <w:rsid w:val="004140BC"/>
    <w:rsid w:val="00415139"/>
    <w:rsid w:val="00415301"/>
    <w:rsid w:val="0041556E"/>
    <w:rsid w:val="00416521"/>
    <w:rsid w:val="00417A26"/>
    <w:rsid w:val="00420286"/>
    <w:rsid w:val="00420C81"/>
    <w:rsid w:val="00421105"/>
    <w:rsid w:val="00421972"/>
    <w:rsid w:val="00421F7B"/>
    <w:rsid w:val="0042235D"/>
    <w:rsid w:val="00422AA4"/>
    <w:rsid w:val="00422EC7"/>
    <w:rsid w:val="00424253"/>
    <w:rsid w:val="004242F4"/>
    <w:rsid w:val="00425073"/>
    <w:rsid w:val="004252DC"/>
    <w:rsid w:val="00425A7F"/>
    <w:rsid w:val="00425DA9"/>
    <w:rsid w:val="00426599"/>
    <w:rsid w:val="00427248"/>
    <w:rsid w:val="0042749C"/>
    <w:rsid w:val="004307E1"/>
    <w:rsid w:val="00430AB1"/>
    <w:rsid w:val="00430D07"/>
    <w:rsid w:val="00431787"/>
    <w:rsid w:val="00433124"/>
    <w:rsid w:val="00434EC7"/>
    <w:rsid w:val="00435D70"/>
    <w:rsid w:val="0043708D"/>
    <w:rsid w:val="00437447"/>
    <w:rsid w:val="00440411"/>
    <w:rsid w:val="004407C5"/>
    <w:rsid w:val="00440E41"/>
    <w:rsid w:val="00441063"/>
    <w:rsid w:val="00441A92"/>
    <w:rsid w:val="00441AE6"/>
    <w:rsid w:val="00441EC3"/>
    <w:rsid w:val="00442DCD"/>
    <w:rsid w:val="00442EF2"/>
    <w:rsid w:val="004431DC"/>
    <w:rsid w:val="00443615"/>
    <w:rsid w:val="004445C8"/>
    <w:rsid w:val="00444F56"/>
    <w:rsid w:val="004450C3"/>
    <w:rsid w:val="0044529B"/>
    <w:rsid w:val="00446488"/>
    <w:rsid w:val="004477CF"/>
    <w:rsid w:val="0045078F"/>
    <w:rsid w:val="00450955"/>
    <w:rsid w:val="0045164B"/>
    <w:rsid w:val="004517AA"/>
    <w:rsid w:val="00451D12"/>
    <w:rsid w:val="004527D3"/>
    <w:rsid w:val="00452CAC"/>
    <w:rsid w:val="00454245"/>
    <w:rsid w:val="004548B2"/>
    <w:rsid w:val="004549B0"/>
    <w:rsid w:val="00455883"/>
    <w:rsid w:val="00457565"/>
    <w:rsid w:val="00457B71"/>
    <w:rsid w:val="00457CD3"/>
    <w:rsid w:val="00460B3E"/>
    <w:rsid w:val="004613D3"/>
    <w:rsid w:val="004617AD"/>
    <w:rsid w:val="00462F28"/>
    <w:rsid w:val="004630E1"/>
    <w:rsid w:val="00463273"/>
    <w:rsid w:val="004638E6"/>
    <w:rsid w:val="00463C00"/>
    <w:rsid w:val="00463DD9"/>
    <w:rsid w:val="00463E2C"/>
    <w:rsid w:val="004641B1"/>
    <w:rsid w:val="00464689"/>
    <w:rsid w:val="00464E87"/>
    <w:rsid w:val="00465E24"/>
    <w:rsid w:val="0046632E"/>
    <w:rsid w:val="00466578"/>
    <w:rsid w:val="00466685"/>
    <w:rsid w:val="004669E2"/>
    <w:rsid w:val="00467125"/>
    <w:rsid w:val="00467E72"/>
    <w:rsid w:val="00470577"/>
    <w:rsid w:val="00470C31"/>
    <w:rsid w:val="00471DAD"/>
    <w:rsid w:val="00471DE0"/>
    <w:rsid w:val="00471FD9"/>
    <w:rsid w:val="00472356"/>
    <w:rsid w:val="004734D0"/>
    <w:rsid w:val="0047449F"/>
    <w:rsid w:val="0047556B"/>
    <w:rsid w:val="00475907"/>
    <w:rsid w:val="00475AD3"/>
    <w:rsid w:val="00477724"/>
    <w:rsid w:val="00477768"/>
    <w:rsid w:val="004778B2"/>
    <w:rsid w:val="004809F7"/>
    <w:rsid w:val="00480AAD"/>
    <w:rsid w:val="00481F5D"/>
    <w:rsid w:val="0048244E"/>
    <w:rsid w:val="00483131"/>
    <w:rsid w:val="00483275"/>
    <w:rsid w:val="0048328D"/>
    <w:rsid w:val="00483540"/>
    <w:rsid w:val="00483970"/>
    <w:rsid w:val="00483A57"/>
    <w:rsid w:val="00483CB5"/>
    <w:rsid w:val="00484841"/>
    <w:rsid w:val="00485C24"/>
    <w:rsid w:val="00486B4D"/>
    <w:rsid w:val="00486FE5"/>
    <w:rsid w:val="004873A5"/>
    <w:rsid w:val="00487CEA"/>
    <w:rsid w:val="00490365"/>
    <w:rsid w:val="0049069B"/>
    <w:rsid w:val="0049101D"/>
    <w:rsid w:val="00491393"/>
    <w:rsid w:val="0049199A"/>
    <w:rsid w:val="00492BC5"/>
    <w:rsid w:val="00493333"/>
    <w:rsid w:val="0049391E"/>
    <w:rsid w:val="00494205"/>
    <w:rsid w:val="004947E3"/>
    <w:rsid w:val="004960D4"/>
    <w:rsid w:val="004964F1"/>
    <w:rsid w:val="00496EFF"/>
    <w:rsid w:val="00497C8E"/>
    <w:rsid w:val="004A0AE1"/>
    <w:rsid w:val="004A0D58"/>
    <w:rsid w:val="004A146C"/>
    <w:rsid w:val="004A16BC"/>
    <w:rsid w:val="004A16F3"/>
    <w:rsid w:val="004A18C8"/>
    <w:rsid w:val="004A230A"/>
    <w:rsid w:val="004A2404"/>
    <w:rsid w:val="004A2B94"/>
    <w:rsid w:val="004A4BDC"/>
    <w:rsid w:val="004A5C69"/>
    <w:rsid w:val="004A64DA"/>
    <w:rsid w:val="004A7045"/>
    <w:rsid w:val="004A73E9"/>
    <w:rsid w:val="004A7CDE"/>
    <w:rsid w:val="004B0058"/>
    <w:rsid w:val="004B09D9"/>
    <w:rsid w:val="004B16C7"/>
    <w:rsid w:val="004B1C44"/>
    <w:rsid w:val="004B2FC0"/>
    <w:rsid w:val="004B3692"/>
    <w:rsid w:val="004B3BED"/>
    <w:rsid w:val="004B40A7"/>
    <w:rsid w:val="004B61D2"/>
    <w:rsid w:val="004B6A2B"/>
    <w:rsid w:val="004B6F6A"/>
    <w:rsid w:val="004B70C2"/>
    <w:rsid w:val="004B72E1"/>
    <w:rsid w:val="004B74EF"/>
    <w:rsid w:val="004B787C"/>
    <w:rsid w:val="004B78A3"/>
    <w:rsid w:val="004B7C0C"/>
    <w:rsid w:val="004B7DDD"/>
    <w:rsid w:val="004C00A9"/>
    <w:rsid w:val="004C020A"/>
    <w:rsid w:val="004C186E"/>
    <w:rsid w:val="004C2910"/>
    <w:rsid w:val="004C3898"/>
    <w:rsid w:val="004C430C"/>
    <w:rsid w:val="004C4EC6"/>
    <w:rsid w:val="004C570A"/>
    <w:rsid w:val="004C59A7"/>
    <w:rsid w:val="004C6812"/>
    <w:rsid w:val="004C700E"/>
    <w:rsid w:val="004C7D8B"/>
    <w:rsid w:val="004D0013"/>
    <w:rsid w:val="004D0756"/>
    <w:rsid w:val="004D08BB"/>
    <w:rsid w:val="004D0B89"/>
    <w:rsid w:val="004D119C"/>
    <w:rsid w:val="004D15CC"/>
    <w:rsid w:val="004D1929"/>
    <w:rsid w:val="004D1ECD"/>
    <w:rsid w:val="004D30BC"/>
    <w:rsid w:val="004D36B1"/>
    <w:rsid w:val="004D3930"/>
    <w:rsid w:val="004D3D72"/>
    <w:rsid w:val="004D3F96"/>
    <w:rsid w:val="004D43C7"/>
    <w:rsid w:val="004D5762"/>
    <w:rsid w:val="004D5D08"/>
    <w:rsid w:val="004D6AF6"/>
    <w:rsid w:val="004D6C6B"/>
    <w:rsid w:val="004D6DE5"/>
    <w:rsid w:val="004D753F"/>
    <w:rsid w:val="004D7D04"/>
    <w:rsid w:val="004D7DFF"/>
    <w:rsid w:val="004D7EBD"/>
    <w:rsid w:val="004E00FA"/>
    <w:rsid w:val="004E05D9"/>
    <w:rsid w:val="004E092A"/>
    <w:rsid w:val="004E095A"/>
    <w:rsid w:val="004E0E8B"/>
    <w:rsid w:val="004E2680"/>
    <w:rsid w:val="004E28F9"/>
    <w:rsid w:val="004E462E"/>
    <w:rsid w:val="004E4CDD"/>
    <w:rsid w:val="004E4CEA"/>
    <w:rsid w:val="004E50D9"/>
    <w:rsid w:val="004E5118"/>
    <w:rsid w:val="004E5229"/>
    <w:rsid w:val="004E566F"/>
    <w:rsid w:val="004E56DC"/>
    <w:rsid w:val="004E5E07"/>
    <w:rsid w:val="004E637E"/>
    <w:rsid w:val="004E6636"/>
    <w:rsid w:val="004E6713"/>
    <w:rsid w:val="004E68F1"/>
    <w:rsid w:val="004E76F4"/>
    <w:rsid w:val="004E7B61"/>
    <w:rsid w:val="004F0B4E"/>
    <w:rsid w:val="004F0B6C"/>
    <w:rsid w:val="004F0F61"/>
    <w:rsid w:val="004F0FFF"/>
    <w:rsid w:val="004F2078"/>
    <w:rsid w:val="004F2E9C"/>
    <w:rsid w:val="004F3C55"/>
    <w:rsid w:val="004F4DA3"/>
    <w:rsid w:val="004F4FBB"/>
    <w:rsid w:val="004F6CB0"/>
    <w:rsid w:val="004F7A83"/>
    <w:rsid w:val="00501C87"/>
    <w:rsid w:val="0050258B"/>
    <w:rsid w:val="005038E5"/>
    <w:rsid w:val="005040FB"/>
    <w:rsid w:val="0050435B"/>
    <w:rsid w:val="00504E37"/>
    <w:rsid w:val="00506557"/>
    <w:rsid w:val="0050677A"/>
    <w:rsid w:val="00506D9E"/>
    <w:rsid w:val="005100B8"/>
    <w:rsid w:val="00510473"/>
    <w:rsid w:val="005108D8"/>
    <w:rsid w:val="00510E31"/>
    <w:rsid w:val="005116F9"/>
    <w:rsid w:val="00512561"/>
    <w:rsid w:val="00512A74"/>
    <w:rsid w:val="0051361A"/>
    <w:rsid w:val="00514B2A"/>
    <w:rsid w:val="005153A7"/>
    <w:rsid w:val="00515624"/>
    <w:rsid w:val="00515A66"/>
    <w:rsid w:val="00516D47"/>
    <w:rsid w:val="00517CE4"/>
    <w:rsid w:val="005200B7"/>
    <w:rsid w:val="00520B86"/>
    <w:rsid w:val="00520C04"/>
    <w:rsid w:val="005219CF"/>
    <w:rsid w:val="00521EF4"/>
    <w:rsid w:val="0052266C"/>
    <w:rsid w:val="00522D94"/>
    <w:rsid w:val="00523270"/>
    <w:rsid w:val="00523ED4"/>
    <w:rsid w:val="0052428E"/>
    <w:rsid w:val="00524821"/>
    <w:rsid w:val="00524A64"/>
    <w:rsid w:val="00524AE2"/>
    <w:rsid w:val="00525556"/>
    <w:rsid w:val="005255BF"/>
    <w:rsid w:val="0052578F"/>
    <w:rsid w:val="00525845"/>
    <w:rsid w:val="00525927"/>
    <w:rsid w:val="005261B5"/>
    <w:rsid w:val="00526707"/>
    <w:rsid w:val="00526F58"/>
    <w:rsid w:val="00526FD2"/>
    <w:rsid w:val="00527985"/>
    <w:rsid w:val="00527D78"/>
    <w:rsid w:val="00527FD6"/>
    <w:rsid w:val="005311BA"/>
    <w:rsid w:val="00531548"/>
    <w:rsid w:val="00531B37"/>
    <w:rsid w:val="00531BB2"/>
    <w:rsid w:val="005332B1"/>
    <w:rsid w:val="00534B59"/>
    <w:rsid w:val="005363A7"/>
    <w:rsid w:val="00536759"/>
    <w:rsid w:val="00536D05"/>
    <w:rsid w:val="00537C62"/>
    <w:rsid w:val="00537EBE"/>
    <w:rsid w:val="00537F2B"/>
    <w:rsid w:val="005403DA"/>
    <w:rsid w:val="00540420"/>
    <w:rsid w:val="005404D3"/>
    <w:rsid w:val="00541C55"/>
    <w:rsid w:val="0054255F"/>
    <w:rsid w:val="0054299E"/>
    <w:rsid w:val="00543B96"/>
    <w:rsid w:val="00543E0C"/>
    <w:rsid w:val="00544C5F"/>
    <w:rsid w:val="00545054"/>
    <w:rsid w:val="005453A0"/>
    <w:rsid w:val="00545DBC"/>
    <w:rsid w:val="005465C8"/>
    <w:rsid w:val="00546803"/>
    <w:rsid w:val="00546970"/>
    <w:rsid w:val="00546E6E"/>
    <w:rsid w:val="0054746D"/>
    <w:rsid w:val="0054791A"/>
    <w:rsid w:val="00552960"/>
    <w:rsid w:val="00552FA0"/>
    <w:rsid w:val="00553425"/>
    <w:rsid w:val="00553B17"/>
    <w:rsid w:val="00554A34"/>
    <w:rsid w:val="00554E19"/>
    <w:rsid w:val="00554ED5"/>
    <w:rsid w:val="00555C65"/>
    <w:rsid w:val="005567FA"/>
    <w:rsid w:val="00556DF9"/>
    <w:rsid w:val="005571F9"/>
    <w:rsid w:val="00557FBD"/>
    <w:rsid w:val="00560D6F"/>
    <w:rsid w:val="0056121F"/>
    <w:rsid w:val="00563670"/>
    <w:rsid w:val="0056378E"/>
    <w:rsid w:val="00563FE0"/>
    <w:rsid w:val="0056488C"/>
    <w:rsid w:val="00564C5A"/>
    <w:rsid w:val="0056577C"/>
    <w:rsid w:val="005661A5"/>
    <w:rsid w:val="0056639F"/>
    <w:rsid w:val="0056767A"/>
    <w:rsid w:val="00571272"/>
    <w:rsid w:val="00571CDF"/>
    <w:rsid w:val="005724DB"/>
    <w:rsid w:val="00572505"/>
    <w:rsid w:val="00574CA8"/>
    <w:rsid w:val="00575BC8"/>
    <w:rsid w:val="00576555"/>
    <w:rsid w:val="00576C04"/>
    <w:rsid w:val="00577224"/>
    <w:rsid w:val="00577865"/>
    <w:rsid w:val="00577A1D"/>
    <w:rsid w:val="00580550"/>
    <w:rsid w:val="0058137E"/>
    <w:rsid w:val="00581D00"/>
    <w:rsid w:val="00582809"/>
    <w:rsid w:val="00584934"/>
    <w:rsid w:val="00585B82"/>
    <w:rsid w:val="00585CB4"/>
    <w:rsid w:val="00585DB0"/>
    <w:rsid w:val="00586915"/>
    <w:rsid w:val="00586C42"/>
    <w:rsid w:val="00586E84"/>
    <w:rsid w:val="0058738A"/>
    <w:rsid w:val="005876EA"/>
    <w:rsid w:val="0058798C"/>
    <w:rsid w:val="005900FA"/>
    <w:rsid w:val="00591A94"/>
    <w:rsid w:val="00591BBF"/>
    <w:rsid w:val="00591CEA"/>
    <w:rsid w:val="005935A4"/>
    <w:rsid w:val="0059373F"/>
    <w:rsid w:val="00593D80"/>
    <w:rsid w:val="00593F91"/>
    <w:rsid w:val="00594096"/>
    <w:rsid w:val="0059414F"/>
    <w:rsid w:val="00594704"/>
    <w:rsid w:val="005948C2"/>
    <w:rsid w:val="00594E07"/>
    <w:rsid w:val="0059518F"/>
    <w:rsid w:val="0059527B"/>
    <w:rsid w:val="00595552"/>
    <w:rsid w:val="00595AC1"/>
    <w:rsid w:val="00595D85"/>
    <w:rsid w:val="00595DCA"/>
    <w:rsid w:val="00596A94"/>
    <w:rsid w:val="00596DC9"/>
    <w:rsid w:val="00596F01"/>
    <w:rsid w:val="005974DC"/>
    <w:rsid w:val="0059779B"/>
    <w:rsid w:val="00597A88"/>
    <w:rsid w:val="005A10E3"/>
    <w:rsid w:val="005A17CC"/>
    <w:rsid w:val="005A1F5D"/>
    <w:rsid w:val="005A209A"/>
    <w:rsid w:val="005A2347"/>
    <w:rsid w:val="005A2B2C"/>
    <w:rsid w:val="005A3566"/>
    <w:rsid w:val="005A43B2"/>
    <w:rsid w:val="005A5012"/>
    <w:rsid w:val="005A6452"/>
    <w:rsid w:val="005A662D"/>
    <w:rsid w:val="005A708F"/>
    <w:rsid w:val="005A78B1"/>
    <w:rsid w:val="005A7C28"/>
    <w:rsid w:val="005B1409"/>
    <w:rsid w:val="005B16CB"/>
    <w:rsid w:val="005B18D0"/>
    <w:rsid w:val="005B1961"/>
    <w:rsid w:val="005B24C2"/>
    <w:rsid w:val="005B262A"/>
    <w:rsid w:val="005B2F85"/>
    <w:rsid w:val="005B31F4"/>
    <w:rsid w:val="005B35D7"/>
    <w:rsid w:val="005B392A"/>
    <w:rsid w:val="005B3AA3"/>
    <w:rsid w:val="005B3CF2"/>
    <w:rsid w:val="005B435E"/>
    <w:rsid w:val="005B4684"/>
    <w:rsid w:val="005B4FAA"/>
    <w:rsid w:val="005B610C"/>
    <w:rsid w:val="005B615A"/>
    <w:rsid w:val="005B6228"/>
    <w:rsid w:val="005B63FC"/>
    <w:rsid w:val="005B66B8"/>
    <w:rsid w:val="005B6F83"/>
    <w:rsid w:val="005C0C06"/>
    <w:rsid w:val="005C0EA0"/>
    <w:rsid w:val="005C1D4E"/>
    <w:rsid w:val="005C265E"/>
    <w:rsid w:val="005C335B"/>
    <w:rsid w:val="005C3DB5"/>
    <w:rsid w:val="005C4841"/>
    <w:rsid w:val="005C5303"/>
    <w:rsid w:val="005C74FB"/>
    <w:rsid w:val="005C7721"/>
    <w:rsid w:val="005D004D"/>
    <w:rsid w:val="005D02AA"/>
    <w:rsid w:val="005D030E"/>
    <w:rsid w:val="005D0E98"/>
    <w:rsid w:val="005D1602"/>
    <w:rsid w:val="005D2271"/>
    <w:rsid w:val="005D39BF"/>
    <w:rsid w:val="005D3EAE"/>
    <w:rsid w:val="005D418E"/>
    <w:rsid w:val="005D54D3"/>
    <w:rsid w:val="005D5CFB"/>
    <w:rsid w:val="005D5DB0"/>
    <w:rsid w:val="005D61ED"/>
    <w:rsid w:val="005D6F8F"/>
    <w:rsid w:val="005D7632"/>
    <w:rsid w:val="005D793C"/>
    <w:rsid w:val="005E0D4C"/>
    <w:rsid w:val="005E0DB4"/>
    <w:rsid w:val="005E112D"/>
    <w:rsid w:val="005E12AC"/>
    <w:rsid w:val="005E1639"/>
    <w:rsid w:val="005E3525"/>
    <w:rsid w:val="005E385F"/>
    <w:rsid w:val="005E5AEE"/>
    <w:rsid w:val="005E5B81"/>
    <w:rsid w:val="005E66EB"/>
    <w:rsid w:val="005E69D8"/>
    <w:rsid w:val="005E7F6C"/>
    <w:rsid w:val="005F0654"/>
    <w:rsid w:val="005F0D75"/>
    <w:rsid w:val="005F1DD2"/>
    <w:rsid w:val="005F272C"/>
    <w:rsid w:val="005F284C"/>
    <w:rsid w:val="005F2CA3"/>
    <w:rsid w:val="005F2CB1"/>
    <w:rsid w:val="005F3025"/>
    <w:rsid w:val="005F312B"/>
    <w:rsid w:val="005F32AF"/>
    <w:rsid w:val="005F34EF"/>
    <w:rsid w:val="005F42E1"/>
    <w:rsid w:val="005F4589"/>
    <w:rsid w:val="005F4FA9"/>
    <w:rsid w:val="005F618C"/>
    <w:rsid w:val="005F6685"/>
    <w:rsid w:val="005F6834"/>
    <w:rsid w:val="005F70BD"/>
    <w:rsid w:val="00600323"/>
    <w:rsid w:val="006009A4"/>
    <w:rsid w:val="00600C6A"/>
    <w:rsid w:val="00600F10"/>
    <w:rsid w:val="006010EF"/>
    <w:rsid w:val="00601D9A"/>
    <w:rsid w:val="00601EFA"/>
    <w:rsid w:val="0060283C"/>
    <w:rsid w:val="00602B7C"/>
    <w:rsid w:val="00603287"/>
    <w:rsid w:val="006039AD"/>
    <w:rsid w:val="006049D5"/>
    <w:rsid w:val="00604B90"/>
    <w:rsid w:val="00604F14"/>
    <w:rsid w:val="0060608E"/>
    <w:rsid w:val="00606401"/>
    <w:rsid w:val="006068C9"/>
    <w:rsid w:val="00606CFB"/>
    <w:rsid w:val="006076DC"/>
    <w:rsid w:val="00607AC6"/>
    <w:rsid w:val="0061069E"/>
    <w:rsid w:val="006108FB"/>
    <w:rsid w:val="00610F19"/>
    <w:rsid w:val="006116CA"/>
    <w:rsid w:val="00611775"/>
    <w:rsid w:val="00611941"/>
    <w:rsid w:val="00611B83"/>
    <w:rsid w:val="006122A5"/>
    <w:rsid w:val="006125C0"/>
    <w:rsid w:val="00613257"/>
    <w:rsid w:val="00613EAF"/>
    <w:rsid w:val="006145CD"/>
    <w:rsid w:val="006151A3"/>
    <w:rsid w:val="0061563F"/>
    <w:rsid w:val="006158BB"/>
    <w:rsid w:val="00615B85"/>
    <w:rsid w:val="00616237"/>
    <w:rsid w:val="006164D0"/>
    <w:rsid w:val="0061667E"/>
    <w:rsid w:val="00616BDD"/>
    <w:rsid w:val="00616CFF"/>
    <w:rsid w:val="006173A4"/>
    <w:rsid w:val="00617912"/>
    <w:rsid w:val="00620129"/>
    <w:rsid w:val="00620A71"/>
    <w:rsid w:val="00620D80"/>
    <w:rsid w:val="00620E7D"/>
    <w:rsid w:val="00622164"/>
    <w:rsid w:val="00622344"/>
    <w:rsid w:val="00622601"/>
    <w:rsid w:val="00622A08"/>
    <w:rsid w:val="00622BE3"/>
    <w:rsid w:val="006234A6"/>
    <w:rsid w:val="006239A5"/>
    <w:rsid w:val="0062436E"/>
    <w:rsid w:val="0062461F"/>
    <w:rsid w:val="006249E3"/>
    <w:rsid w:val="006270FB"/>
    <w:rsid w:val="006271FB"/>
    <w:rsid w:val="00630001"/>
    <w:rsid w:val="006311B3"/>
    <w:rsid w:val="006313FC"/>
    <w:rsid w:val="0063195E"/>
    <w:rsid w:val="00631D27"/>
    <w:rsid w:val="006320A5"/>
    <w:rsid w:val="00632482"/>
    <w:rsid w:val="0063284C"/>
    <w:rsid w:val="00632A5F"/>
    <w:rsid w:val="00635250"/>
    <w:rsid w:val="00635575"/>
    <w:rsid w:val="00635D16"/>
    <w:rsid w:val="00635D96"/>
    <w:rsid w:val="00635DC5"/>
    <w:rsid w:val="006362A4"/>
    <w:rsid w:val="00636398"/>
    <w:rsid w:val="006368D3"/>
    <w:rsid w:val="00636C93"/>
    <w:rsid w:val="00636D63"/>
    <w:rsid w:val="006377EC"/>
    <w:rsid w:val="0064053B"/>
    <w:rsid w:val="006409ED"/>
    <w:rsid w:val="00640ED8"/>
    <w:rsid w:val="0064151F"/>
    <w:rsid w:val="00641533"/>
    <w:rsid w:val="00641970"/>
    <w:rsid w:val="0064208D"/>
    <w:rsid w:val="00642FEE"/>
    <w:rsid w:val="0064310B"/>
    <w:rsid w:val="00643407"/>
    <w:rsid w:val="00643475"/>
    <w:rsid w:val="0064396A"/>
    <w:rsid w:val="00643BB3"/>
    <w:rsid w:val="00644E80"/>
    <w:rsid w:val="0064519C"/>
    <w:rsid w:val="0064550B"/>
    <w:rsid w:val="00645FE7"/>
    <w:rsid w:val="0064624E"/>
    <w:rsid w:val="00650AB9"/>
    <w:rsid w:val="0065121A"/>
    <w:rsid w:val="0065209D"/>
    <w:rsid w:val="00652228"/>
    <w:rsid w:val="00653550"/>
    <w:rsid w:val="00653B00"/>
    <w:rsid w:val="00653C3F"/>
    <w:rsid w:val="00654E4A"/>
    <w:rsid w:val="006551D5"/>
    <w:rsid w:val="0065563B"/>
    <w:rsid w:val="00655733"/>
    <w:rsid w:val="0065579E"/>
    <w:rsid w:val="00655ACD"/>
    <w:rsid w:val="00655EB6"/>
    <w:rsid w:val="006563F7"/>
    <w:rsid w:val="00656A92"/>
    <w:rsid w:val="00656DDE"/>
    <w:rsid w:val="00657725"/>
    <w:rsid w:val="00657C66"/>
    <w:rsid w:val="0066011D"/>
    <w:rsid w:val="00660393"/>
    <w:rsid w:val="006607C0"/>
    <w:rsid w:val="00660D9C"/>
    <w:rsid w:val="006613A6"/>
    <w:rsid w:val="00661900"/>
    <w:rsid w:val="00661B57"/>
    <w:rsid w:val="00662625"/>
    <w:rsid w:val="0066271E"/>
    <w:rsid w:val="00662778"/>
    <w:rsid w:val="006627A2"/>
    <w:rsid w:val="00663182"/>
    <w:rsid w:val="006634E6"/>
    <w:rsid w:val="0066360D"/>
    <w:rsid w:val="00663723"/>
    <w:rsid w:val="006642D4"/>
    <w:rsid w:val="006654C8"/>
    <w:rsid w:val="006655EE"/>
    <w:rsid w:val="0066563E"/>
    <w:rsid w:val="00666CB4"/>
    <w:rsid w:val="0066773C"/>
    <w:rsid w:val="00667747"/>
    <w:rsid w:val="00667DC6"/>
    <w:rsid w:val="00667EE7"/>
    <w:rsid w:val="00670922"/>
    <w:rsid w:val="00670BE1"/>
    <w:rsid w:val="00670C1F"/>
    <w:rsid w:val="00670C80"/>
    <w:rsid w:val="00671038"/>
    <w:rsid w:val="0067147A"/>
    <w:rsid w:val="00671D1C"/>
    <w:rsid w:val="0067218F"/>
    <w:rsid w:val="006723F2"/>
    <w:rsid w:val="00672BE8"/>
    <w:rsid w:val="006741F2"/>
    <w:rsid w:val="0067435B"/>
    <w:rsid w:val="00674BC6"/>
    <w:rsid w:val="00674CC3"/>
    <w:rsid w:val="00675C72"/>
    <w:rsid w:val="00675F35"/>
    <w:rsid w:val="006763F1"/>
    <w:rsid w:val="006764CA"/>
    <w:rsid w:val="0067695C"/>
    <w:rsid w:val="0067697F"/>
    <w:rsid w:val="00676AFA"/>
    <w:rsid w:val="00676E11"/>
    <w:rsid w:val="006771F9"/>
    <w:rsid w:val="006776D7"/>
    <w:rsid w:val="0068079C"/>
    <w:rsid w:val="00680EBA"/>
    <w:rsid w:val="00681003"/>
    <w:rsid w:val="00681501"/>
    <w:rsid w:val="006817C9"/>
    <w:rsid w:val="006819A8"/>
    <w:rsid w:val="006819F9"/>
    <w:rsid w:val="006823E0"/>
    <w:rsid w:val="00682FF5"/>
    <w:rsid w:val="0068364E"/>
    <w:rsid w:val="00683ECE"/>
    <w:rsid w:val="006849A3"/>
    <w:rsid w:val="00684D94"/>
    <w:rsid w:val="00684F64"/>
    <w:rsid w:val="00685D26"/>
    <w:rsid w:val="00686ABF"/>
    <w:rsid w:val="0069038E"/>
    <w:rsid w:val="00691154"/>
    <w:rsid w:val="00691B86"/>
    <w:rsid w:val="00691CA5"/>
    <w:rsid w:val="00692D2D"/>
    <w:rsid w:val="0069448F"/>
    <w:rsid w:val="00695FC2"/>
    <w:rsid w:val="006960D3"/>
    <w:rsid w:val="00696914"/>
    <w:rsid w:val="00696949"/>
    <w:rsid w:val="00696C75"/>
    <w:rsid w:val="00696FE0"/>
    <w:rsid w:val="00697052"/>
    <w:rsid w:val="00697683"/>
    <w:rsid w:val="00697E8F"/>
    <w:rsid w:val="006A2184"/>
    <w:rsid w:val="006A2325"/>
    <w:rsid w:val="006A263D"/>
    <w:rsid w:val="006A30B6"/>
    <w:rsid w:val="006A366B"/>
    <w:rsid w:val="006A3B7F"/>
    <w:rsid w:val="006A46FB"/>
    <w:rsid w:val="006A5676"/>
    <w:rsid w:val="006A5959"/>
    <w:rsid w:val="006A5C3B"/>
    <w:rsid w:val="006A5E28"/>
    <w:rsid w:val="006A5E45"/>
    <w:rsid w:val="006A61DC"/>
    <w:rsid w:val="006A697B"/>
    <w:rsid w:val="006A6C55"/>
    <w:rsid w:val="006A712B"/>
    <w:rsid w:val="006A75CE"/>
    <w:rsid w:val="006A7AFF"/>
    <w:rsid w:val="006A7BCD"/>
    <w:rsid w:val="006B0A03"/>
    <w:rsid w:val="006B0D08"/>
    <w:rsid w:val="006B10D0"/>
    <w:rsid w:val="006B125C"/>
    <w:rsid w:val="006B16DE"/>
    <w:rsid w:val="006B1816"/>
    <w:rsid w:val="006B2099"/>
    <w:rsid w:val="006B4553"/>
    <w:rsid w:val="006B4612"/>
    <w:rsid w:val="006B4EAD"/>
    <w:rsid w:val="006B50CF"/>
    <w:rsid w:val="006B6642"/>
    <w:rsid w:val="006B68B9"/>
    <w:rsid w:val="006C03B8"/>
    <w:rsid w:val="006C0A5A"/>
    <w:rsid w:val="006C1538"/>
    <w:rsid w:val="006C296B"/>
    <w:rsid w:val="006C2FE5"/>
    <w:rsid w:val="006C31ED"/>
    <w:rsid w:val="006C418A"/>
    <w:rsid w:val="006C4449"/>
    <w:rsid w:val="006C4C67"/>
    <w:rsid w:val="006C5EC9"/>
    <w:rsid w:val="006C6059"/>
    <w:rsid w:val="006C6540"/>
    <w:rsid w:val="006C6658"/>
    <w:rsid w:val="006C6750"/>
    <w:rsid w:val="006C6ECF"/>
    <w:rsid w:val="006C7522"/>
    <w:rsid w:val="006C7802"/>
    <w:rsid w:val="006C7B17"/>
    <w:rsid w:val="006D00C3"/>
    <w:rsid w:val="006D0AA2"/>
    <w:rsid w:val="006D2855"/>
    <w:rsid w:val="006D288D"/>
    <w:rsid w:val="006D28B7"/>
    <w:rsid w:val="006D418E"/>
    <w:rsid w:val="006D4673"/>
    <w:rsid w:val="006D6F08"/>
    <w:rsid w:val="006D7370"/>
    <w:rsid w:val="006D7EFB"/>
    <w:rsid w:val="006E062C"/>
    <w:rsid w:val="006E0E1C"/>
    <w:rsid w:val="006E176A"/>
    <w:rsid w:val="006E1C82"/>
    <w:rsid w:val="006E28B7"/>
    <w:rsid w:val="006E2A9B"/>
    <w:rsid w:val="006E3310"/>
    <w:rsid w:val="006E3515"/>
    <w:rsid w:val="006E4E39"/>
    <w:rsid w:val="006E565E"/>
    <w:rsid w:val="006E5D92"/>
    <w:rsid w:val="006E66E3"/>
    <w:rsid w:val="006E673D"/>
    <w:rsid w:val="006E6980"/>
    <w:rsid w:val="006E6F5F"/>
    <w:rsid w:val="006E7A06"/>
    <w:rsid w:val="006E7D3B"/>
    <w:rsid w:val="006E7F04"/>
    <w:rsid w:val="006F0903"/>
    <w:rsid w:val="006F1A0F"/>
    <w:rsid w:val="006F1B70"/>
    <w:rsid w:val="006F26BE"/>
    <w:rsid w:val="006F341D"/>
    <w:rsid w:val="006F356A"/>
    <w:rsid w:val="006F3A1C"/>
    <w:rsid w:val="006F3CDE"/>
    <w:rsid w:val="006F4197"/>
    <w:rsid w:val="006F464C"/>
    <w:rsid w:val="006F4F22"/>
    <w:rsid w:val="006F58D4"/>
    <w:rsid w:val="006F6582"/>
    <w:rsid w:val="006F6A5A"/>
    <w:rsid w:val="006F6C01"/>
    <w:rsid w:val="00700962"/>
    <w:rsid w:val="007010C7"/>
    <w:rsid w:val="00701715"/>
    <w:rsid w:val="0070173F"/>
    <w:rsid w:val="007029AE"/>
    <w:rsid w:val="0070346E"/>
    <w:rsid w:val="00703DE2"/>
    <w:rsid w:val="007040D4"/>
    <w:rsid w:val="00704A79"/>
    <w:rsid w:val="00704EDB"/>
    <w:rsid w:val="0070595C"/>
    <w:rsid w:val="007060C0"/>
    <w:rsid w:val="00706101"/>
    <w:rsid w:val="00706742"/>
    <w:rsid w:val="00707072"/>
    <w:rsid w:val="00707219"/>
    <w:rsid w:val="007075DD"/>
    <w:rsid w:val="00707D61"/>
    <w:rsid w:val="00711235"/>
    <w:rsid w:val="0071181B"/>
    <w:rsid w:val="00711AF2"/>
    <w:rsid w:val="00711D1F"/>
    <w:rsid w:val="00712287"/>
    <w:rsid w:val="00712546"/>
    <w:rsid w:val="00712772"/>
    <w:rsid w:val="00712A44"/>
    <w:rsid w:val="007148D3"/>
    <w:rsid w:val="00714902"/>
    <w:rsid w:val="00715B9A"/>
    <w:rsid w:val="00715EAD"/>
    <w:rsid w:val="0071631F"/>
    <w:rsid w:val="00716523"/>
    <w:rsid w:val="0071684A"/>
    <w:rsid w:val="007178C8"/>
    <w:rsid w:val="00717ABC"/>
    <w:rsid w:val="00720C33"/>
    <w:rsid w:val="00720FE0"/>
    <w:rsid w:val="00721468"/>
    <w:rsid w:val="00721B32"/>
    <w:rsid w:val="007220C0"/>
    <w:rsid w:val="00722C2B"/>
    <w:rsid w:val="007247AD"/>
    <w:rsid w:val="007257D0"/>
    <w:rsid w:val="00725BB7"/>
    <w:rsid w:val="00726EA6"/>
    <w:rsid w:val="00727208"/>
    <w:rsid w:val="0072731F"/>
    <w:rsid w:val="00727539"/>
    <w:rsid w:val="00727680"/>
    <w:rsid w:val="00730C47"/>
    <w:rsid w:val="007315C3"/>
    <w:rsid w:val="00734223"/>
    <w:rsid w:val="00734306"/>
    <w:rsid w:val="007348B1"/>
    <w:rsid w:val="00734AA3"/>
    <w:rsid w:val="007350C7"/>
    <w:rsid w:val="00735B68"/>
    <w:rsid w:val="007362A6"/>
    <w:rsid w:val="00736308"/>
    <w:rsid w:val="00736D7D"/>
    <w:rsid w:val="00737255"/>
    <w:rsid w:val="00740E58"/>
    <w:rsid w:val="00741F45"/>
    <w:rsid w:val="00743377"/>
    <w:rsid w:val="0074374D"/>
    <w:rsid w:val="007445A0"/>
    <w:rsid w:val="0074524B"/>
    <w:rsid w:val="007459CE"/>
    <w:rsid w:val="0074603C"/>
    <w:rsid w:val="007460AE"/>
    <w:rsid w:val="00746DCA"/>
    <w:rsid w:val="00747449"/>
    <w:rsid w:val="00747BAC"/>
    <w:rsid w:val="00747D8B"/>
    <w:rsid w:val="0075025A"/>
    <w:rsid w:val="00750490"/>
    <w:rsid w:val="007508F2"/>
    <w:rsid w:val="00751228"/>
    <w:rsid w:val="00752E1C"/>
    <w:rsid w:val="00753070"/>
    <w:rsid w:val="0075315A"/>
    <w:rsid w:val="007532A8"/>
    <w:rsid w:val="00753664"/>
    <w:rsid w:val="0075366B"/>
    <w:rsid w:val="007544C6"/>
    <w:rsid w:val="007544EA"/>
    <w:rsid w:val="00754D27"/>
    <w:rsid w:val="00755291"/>
    <w:rsid w:val="007571E1"/>
    <w:rsid w:val="0075754B"/>
    <w:rsid w:val="007604B2"/>
    <w:rsid w:val="007605AE"/>
    <w:rsid w:val="00760690"/>
    <w:rsid w:val="0076086A"/>
    <w:rsid w:val="007621AF"/>
    <w:rsid w:val="0076237B"/>
    <w:rsid w:val="00762492"/>
    <w:rsid w:val="00762A99"/>
    <w:rsid w:val="00763932"/>
    <w:rsid w:val="00763F61"/>
    <w:rsid w:val="00764634"/>
    <w:rsid w:val="00765281"/>
    <w:rsid w:val="0076570C"/>
    <w:rsid w:val="00766013"/>
    <w:rsid w:val="00766B12"/>
    <w:rsid w:val="00766BAD"/>
    <w:rsid w:val="007704F7"/>
    <w:rsid w:val="00770E96"/>
    <w:rsid w:val="00771C84"/>
    <w:rsid w:val="00771FF5"/>
    <w:rsid w:val="007728B5"/>
    <w:rsid w:val="007729A2"/>
    <w:rsid w:val="007730B4"/>
    <w:rsid w:val="007739A6"/>
    <w:rsid w:val="0077484A"/>
    <w:rsid w:val="007755F2"/>
    <w:rsid w:val="00775850"/>
    <w:rsid w:val="00775B87"/>
    <w:rsid w:val="00776971"/>
    <w:rsid w:val="00776A9F"/>
    <w:rsid w:val="00776AF2"/>
    <w:rsid w:val="007772A6"/>
    <w:rsid w:val="00780A80"/>
    <w:rsid w:val="0078177E"/>
    <w:rsid w:val="0078304C"/>
    <w:rsid w:val="007831C1"/>
    <w:rsid w:val="00783673"/>
    <w:rsid w:val="00783BEC"/>
    <w:rsid w:val="00784F95"/>
    <w:rsid w:val="00785490"/>
    <w:rsid w:val="0078593E"/>
    <w:rsid w:val="007868F6"/>
    <w:rsid w:val="007874E2"/>
    <w:rsid w:val="007879F8"/>
    <w:rsid w:val="00787B7A"/>
    <w:rsid w:val="00787D34"/>
    <w:rsid w:val="00790696"/>
    <w:rsid w:val="00790B4E"/>
    <w:rsid w:val="0079170E"/>
    <w:rsid w:val="00791AD8"/>
    <w:rsid w:val="00791B18"/>
    <w:rsid w:val="00792570"/>
    <w:rsid w:val="007925EA"/>
    <w:rsid w:val="00792821"/>
    <w:rsid w:val="00793381"/>
    <w:rsid w:val="00793A01"/>
    <w:rsid w:val="00793CD8"/>
    <w:rsid w:val="007944C2"/>
    <w:rsid w:val="0079456D"/>
    <w:rsid w:val="00794851"/>
    <w:rsid w:val="007948A0"/>
    <w:rsid w:val="007955D1"/>
    <w:rsid w:val="007958B8"/>
    <w:rsid w:val="00795A7F"/>
    <w:rsid w:val="00795C92"/>
    <w:rsid w:val="00796231"/>
    <w:rsid w:val="00796669"/>
    <w:rsid w:val="00797773"/>
    <w:rsid w:val="00797799"/>
    <w:rsid w:val="007A0791"/>
    <w:rsid w:val="007A166D"/>
    <w:rsid w:val="007A1CB3"/>
    <w:rsid w:val="007A2242"/>
    <w:rsid w:val="007A2575"/>
    <w:rsid w:val="007A278A"/>
    <w:rsid w:val="007A306F"/>
    <w:rsid w:val="007A3706"/>
    <w:rsid w:val="007A43A6"/>
    <w:rsid w:val="007A44B6"/>
    <w:rsid w:val="007A497D"/>
    <w:rsid w:val="007A58A6"/>
    <w:rsid w:val="007A5BA9"/>
    <w:rsid w:val="007A5EBC"/>
    <w:rsid w:val="007A5FB5"/>
    <w:rsid w:val="007A66A6"/>
    <w:rsid w:val="007A66E7"/>
    <w:rsid w:val="007A6B7C"/>
    <w:rsid w:val="007A71B7"/>
    <w:rsid w:val="007A7E68"/>
    <w:rsid w:val="007B0221"/>
    <w:rsid w:val="007B0F33"/>
    <w:rsid w:val="007B1A1D"/>
    <w:rsid w:val="007B3D2D"/>
    <w:rsid w:val="007B42C5"/>
    <w:rsid w:val="007B48CE"/>
    <w:rsid w:val="007B494E"/>
    <w:rsid w:val="007B50AE"/>
    <w:rsid w:val="007B51DF"/>
    <w:rsid w:val="007B5FA7"/>
    <w:rsid w:val="007B61E3"/>
    <w:rsid w:val="007B6DE0"/>
    <w:rsid w:val="007B7B98"/>
    <w:rsid w:val="007C016C"/>
    <w:rsid w:val="007C057B"/>
    <w:rsid w:val="007C05DD"/>
    <w:rsid w:val="007C06BA"/>
    <w:rsid w:val="007C10DC"/>
    <w:rsid w:val="007C1B84"/>
    <w:rsid w:val="007C22B8"/>
    <w:rsid w:val="007C31D1"/>
    <w:rsid w:val="007C3D18"/>
    <w:rsid w:val="007C52B0"/>
    <w:rsid w:val="007C5C81"/>
    <w:rsid w:val="007C60BF"/>
    <w:rsid w:val="007C65E5"/>
    <w:rsid w:val="007C6A07"/>
    <w:rsid w:val="007C73A9"/>
    <w:rsid w:val="007C75A1"/>
    <w:rsid w:val="007C77A5"/>
    <w:rsid w:val="007C7FBC"/>
    <w:rsid w:val="007D04E5"/>
    <w:rsid w:val="007D0634"/>
    <w:rsid w:val="007D09C8"/>
    <w:rsid w:val="007D0BD2"/>
    <w:rsid w:val="007D0C73"/>
    <w:rsid w:val="007D0C87"/>
    <w:rsid w:val="007D1463"/>
    <w:rsid w:val="007D1B74"/>
    <w:rsid w:val="007D2757"/>
    <w:rsid w:val="007D2DDD"/>
    <w:rsid w:val="007D30FF"/>
    <w:rsid w:val="007D3A27"/>
    <w:rsid w:val="007D4453"/>
    <w:rsid w:val="007D44D5"/>
    <w:rsid w:val="007D4EB3"/>
    <w:rsid w:val="007D588A"/>
    <w:rsid w:val="007D5901"/>
    <w:rsid w:val="007D651A"/>
    <w:rsid w:val="007D68BE"/>
    <w:rsid w:val="007D6EC4"/>
    <w:rsid w:val="007D7526"/>
    <w:rsid w:val="007D75DF"/>
    <w:rsid w:val="007E0725"/>
    <w:rsid w:val="007E1258"/>
    <w:rsid w:val="007E2A24"/>
    <w:rsid w:val="007E2C79"/>
    <w:rsid w:val="007E2E2A"/>
    <w:rsid w:val="007E304A"/>
    <w:rsid w:val="007E45F1"/>
    <w:rsid w:val="007E4610"/>
    <w:rsid w:val="007E4715"/>
    <w:rsid w:val="007E505B"/>
    <w:rsid w:val="007E636C"/>
    <w:rsid w:val="007E6D01"/>
    <w:rsid w:val="007E7091"/>
    <w:rsid w:val="007E7A7D"/>
    <w:rsid w:val="007F0687"/>
    <w:rsid w:val="007F0BDE"/>
    <w:rsid w:val="007F1458"/>
    <w:rsid w:val="007F26CA"/>
    <w:rsid w:val="007F39BB"/>
    <w:rsid w:val="007F42F4"/>
    <w:rsid w:val="007F4351"/>
    <w:rsid w:val="007F439C"/>
    <w:rsid w:val="007F69B7"/>
    <w:rsid w:val="007F7172"/>
    <w:rsid w:val="007F7D15"/>
    <w:rsid w:val="008011CD"/>
    <w:rsid w:val="00801782"/>
    <w:rsid w:val="00801849"/>
    <w:rsid w:val="00802303"/>
    <w:rsid w:val="00802F5D"/>
    <w:rsid w:val="008038B1"/>
    <w:rsid w:val="008038B8"/>
    <w:rsid w:val="008039E2"/>
    <w:rsid w:val="00803E79"/>
    <w:rsid w:val="00803FAE"/>
    <w:rsid w:val="0080480B"/>
    <w:rsid w:val="0080496E"/>
    <w:rsid w:val="0080536C"/>
    <w:rsid w:val="008059DF"/>
    <w:rsid w:val="0080605F"/>
    <w:rsid w:val="008073CD"/>
    <w:rsid w:val="00807786"/>
    <w:rsid w:val="008112BF"/>
    <w:rsid w:val="00811FCB"/>
    <w:rsid w:val="00812005"/>
    <w:rsid w:val="00812242"/>
    <w:rsid w:val="0081237A"/>
    <w:rsid w:val="008124E5"/>
    <w:rsid w:val="008129F2"/>
    <w:rsid w:val="00812BBC"/>
    <w:rsid w:val="00812FCC"/>
    <w:rsid w:val="0081401B"/>
    <w:rsid w:val="008142B9"/>
    <w:rsid w:val="00814B87"/>
    <w:rsid w:val="008158D6"/>
    <w:rsid w:val="0081596B"/>
    <w:rsid w:val="00815C35"/>
    <w:rsid w:val="00816A8F"/>
    <w:rsid w:val="00817196"/>
    <w:rsid w:val="0082076A"/>
    <w:rsid w:val="00820943"/>
    <w:rsid w:val="00820BA2"/>
    <w:rsid w:val="00820F3D"/>
    <w:rsid w:val="00821310"/>
    <w:rsid w:val="00821472"/>
    <w:rsid w:val="0082185C"/>
    <w:rsid w:val="008225E7"/>
    <w:rsid w:val="00822A7C"/>
    <w:rsid w:val="008235DB"/>
    <w:rsid w:val="0082380D"/>
    <w:rsid w:val="008247F0"/>
    <w:rsid w:val="00824AB4"/>
    <w:rsid w:val="00825C42"/>
    <w:rsid w:val="00825D25"/>
    <w:rsid w:val="0082601F"/>
    <w:rsid w:val="00827A6E"/>
    <w:rsid w:val="00827AE2"/>
    <w:rsid w:val="00827D6F"/>
    <w:rsid w:val="00827DF9"/>
    <w:rsid w:val="00830484"/>
    <w:rsid w:val="00830CED"/>
    <w:rsid w:val="00830FA5"/>
    <w:rsid w:val="008312CF"/>
    <w:rsid w:val="00831380"/>
    <w:rsid w:val="0083348F"/>
    <w:rsid w:val="00833B21"/>
    <w:rsid w:val="00833E09"/>
    <w:rsid w:val="00834667"/>
    <w:rsid w:val="0083546B"/>
    <w:rsid w:val="0083594E"/>
    <w:rsid w:val="00836901"/>
    <w:rsid w:val="00836955"/>
    <w:rsid w:val="00837430"/>
    <w:rsid w:val="008376AC"/>
    <w:rsid w:val="00837BB1"/>
    <w:rsid w:val="00840019"/>
    <w:rsid w:val="00841FEE"/>
    <w:rsid w:val="00842A46"/>
    <w:rsid w:val="008436BF"/>
    <w:rsid w:val="00843ACF"/>
    <w:rsid w:val="008444E8"/>
    <w:rsid w:val="00844E80"/>
    <w:rsid w:val="00845532"/>
    <w:rsid w:val="008465FD"/>
    <w:rsid w:val="00846FE7"/>
    <w:rsid w:val="008510A0"/>
    <w:rsid w:val="008519FE"/>
    <w:rsid w:val="0085244A"/>
    <w:rsid w:val="00852D20"/>
    <w:rsid w:val="00853B4B"/>
    <w:rsid w:val="008542AA"/>
    <w:rsid w:val="008566FE"/>
    <w:rsid w:val="00856911"/>
    <w:rsid w:val="00860F3F"/>
    <w:rsid w:val="008612CB"/>
    <w:rsid w:val="00861B85"/>
    <w:rsid w:val="00862005"/>
    <w:rsid w:val="00862178"/>
    <w:rsid w:val="00862894"/>
    <w:rsid w:val="00863191"/>
    <w:rsid w:val="0086491D"/>
    <w:rsid w:val="00864BBF"/>
    <w:rsid w:val="00865E3A"/>
    <w:rsid w:val="00866113"/>
    <w:rsid w:val="00866D99"/>
    <w:rsid w:val="008677FD"/>
    <w:rsid w:val="00870373"/>
    <w:rsid w:val="008706D4"/>
    <w:rsid w:val="00870D7D"/>
    <w:rsid w:val="00870F8A"/>
    <w:rsid w:val="008717AA"/>
    <w:rsid w:val="008719A4"/>
    <w:rsid w:val="00871D23"/>
    <w:rsid w:val="00872101"/>
    <w:rsid w:val="00872A16"/>
    <w:rsid w:val="00872B6B"/>
    <w:rsid w:val="00872E27"/>
    <w:rsid w:val="00872E3B"/>
    <w:rsid w:val="00873C00"/>
    <w:rsid w:val="00874312"/>
    <w:rsid w:val="0087437C"/>
    <w:rsid w:val="008745A3"/>
    <w:rsid w:val="0087488F"/>
    <w:rsid w:val="00875768"/>
    <w:rsid w:val="00875CD7"/>
    <w:rsid w:val="00876B4D"/>
    <w:rsid w:val="00877B89"/>
    <w:rsid w:val="00877F18"/>
    <w:rsid w:val="00880932"/>
    <w:rsid w:val="00881B38"/>
    <w:rsid w:val="008825E6"/>
    <w:rsid w:val="008841FA"/>
    <w:rsid w:val="008861FC"/>
    <w:rsid w:val="00886A27"/>
    <w:rsid w:val="00886E6B"/>
    <w:rsid w:val="00887799"/>
    <w:rsid w:val="00887F95"/>
    <w:rsid w:val="00892125"/>
    <w:rsid w:val="008935B6"/>
    <w:rsid w:val="00893A99"/>
    <w:rsid w:val="00893B06"/>
    <w:rsid w:val="008941E3"/>
    <w:rsid w:val="00894A88"/>
    <w:rsid w:val="00894A95"/>
    <w:rsid w:val="00895386"/>
    <w:rsid w:val="00895498"/>
    <w:rsid w:val="00895F34"/>
    <w:rsid w:val="00896850"/>
    <w:rsid w:val="00897F76"/>
    <w:rsid w:val="008A00FF"/>
    <w:rsid w:val="008A04A6"/>
    <w:rsid w:val="008A090F"/>
    <w:rsid w:val="008A1F47"/>
    <w:rsid w:val="008A21FF"/>
    <w:rsid w:val="008A2CE2"/>
    <w:rsid w:val="008A30AC"/>
    <w:rsid w:val="008A36BC"/>
    <w:rsid w:val="008A44B8"/>
    <w:rsid w:val="008A4689"/>
    <w:rsid w:val="008A49E0"/>
    <w:rsid w:val="008A4EB7"/>
    <w:rsid w:val="008A51A8"/>
    <w:rsid w:val="008A54C7"/>
    <w:rsid w:val="008A5ADF"/>
    <w:rsid w:val="008A6077"/>
    <w:rsid w:val="008A70F5"/>
    <w:rsid w:val="008A77D8"/>
    <w:rsid w:val="008A7B30"/>
    <w:rsid w:val="008B0030"/>
    <w:rsid w:val="008B0483"/>
    <w:rsid w:val="008B04EA"/>
    <w:rsid w:val="008B099C"/>
    <w:rsid w:val="008B120C"/>
    <w:rsid w:val="008B3139"/>
    <w:rsid w:val="008B3F08"/>
    <w:rsid w:val="008B40A7"/>
    <w:rsid w:val="008B47DD"/>
    <w:rsid w:val="008B4817"/>
    <w:rsid w:val="008B481F"/>
    <w:rsid w:val="008B4FD5"/>
    <w:rsid w:val="008B506A"/>
    <w:rsid w:val="008B51A0"/>
    <w:rsid w:val="008B592A"/>
    <w:rsid w:val="008B5AC0"/>
    <w:rsid w:val="008B5F9E"/>
    <w:rsid w:val="008B6472"/>
    <w:rsid w:val="008B664E"/>
    <w:rsid w:val="008B6CD7"/>
    <w:rsid w:val="008B79EC"/>
    <w:rsid w:val="008B7B5C"/>
    <w:rsid w:val="008C052E"/>
    <w:rsid w:val="008C0647"/>
    <w:rsid w:val="008C0BB0"/>
    <w:rsid w:val="008C0C99"/>
    <w:rsid w:val="008C1075"/>
    <w:rsid w:val="008C180A"/>
    <w:rsid w:val="008C194C"/>
    <w:rsid w:val="008C1F7F"/>
    <w:rsid w:val="008C2017"/>
    <w:rsid w:val="008C323A"/>
    <w:rsid w:val="008C45D3"/>
    <w:rsid w:val="008C4627"/>
    <w:rsid w:val="008C4958"/>
    <w:rsid w:val="008C4BAA"/>
    <w:rsid w:val="008C5B15"/>
    <w:rsid w:val="008C6AE8"/>
    <w:rsid w:val="008C713C"/>
    <w:rsid w:val="008C7573"/>
    <w:rsid w:val="008C7A69"/>
    <w:rsid w:val="008D00A5"/>
    <w:rsid w:val="008D18AD"/>
    <w:rsid w:val="008D1EDC"/>
    <w:rsid w:val="008D2832"/>
    <w:rsid w:val="008D34F1"/>
    <w:rsid w:val="008D39D8"/>
    <w:rsid w:val="008D41FE"/>
    <w:rsid w:val="008D4A44"/>
    <w:rsid w:val="008D5F20"/>
    <w:rsid w:val="008D6086"/>
    <w:rsid w:val="008D6D1A"/>
    <w:rsid w:val="008D6D99"/>
    <w:rsid w:val="008D7413"/>
    <w:rsid w:val="008D7B6F"/>
    <w:rsid w:val="008E065E"/>
    <w:rsid w:val="008E0831"/>
    <w:rsid w:val="008E0927"/>
    <w:rsid w:val="008E0D72"/>
    <w:rsid w:val="008E130C"/>
    <w:rsid w:val="008E1909"/>
    <w:rsid w:val="008E1956"/>
    <w:rsid w:val="008E3070"/>
    <w:rsid w:val="008E35CF"/>
    <w:rsid w:val="008E3677"/>
    <w:rsid w:val="008E38BC"/>
    <w:rsid w:val="008E45B2"/>
    <w:rsid w:val="008E5C41"/>
    <w:rsid w:val="008E642A"/>
    <w:rsid w:val="008E6735"/>
    <w:rsid w:val="008E6A50"/>
    <w:rsid w:val="008E7258"/>
    <w:rsid w:val="008E7551"/>
    <w:rsid w:val="008F0A59"/>
    <w:rsid w:val="008F1C4E"/>
    <w:rsid w:val="008F1EAB"/>
    <w:rsid w:val="008F274D"/>
    <w:rsid w:val="008F2DF3"/>
    <w:rsid w:val="008F3301"/>
    <w:rsid w:val="008F33DC"/>
    <w:rsid w:val="008F3ADA"/>
    <w:rsid w:val="008F3B3B"/>
    <w:rsid w:val="008F477F"/>
    <w:rsid w:val="008F53FA"/>
    <w:rsid w:val="008F605A"/>
    <w:rsid w:val="008F7362"/>
    <w:rsid w:val="008F7965"/>
    <w:rsid w:val="009006BC"/>
    <w:rsid w:val="0090136E"/>
    <w:rsid w:val="00901EC3"/>
    <w:rsid w:val="00901F70"/>
    <w:rsid w:val="00902350"/>
    <w:rsid w:val="00902415"/>
    <w:rsid w:val="00902438"/>
    <w:rsid w:val="009025BE"/>
    <w:rsid w:val="00902B19"/>
    <w:rsid w:val="00903013"/>
    <w:rsid w:val="00903333"/>
    <w:rsid w:val="0090336B"/>
    <w:rsid w:val="009037A6"/>
    <w:rsid w:val="009037B8"/>
    <w:rsid w:val="00903DEB"/>
    <w:rsid w:val="009044A6"/>
    <w:rsid w:val="0090455C"/>
    <w:rsid w:val="009053AA"/>
    <w:rsid w:val="009053E7"/>
    <w:rsid w:val="00905DDF"/>
    <w:rsid w:val="00906939"/>
    <w:rsid w:val="00906B49"/>
    <w:rsid w:val="0090733F"/>
    <w:rsid w:val="00910008"/>
    <w:rsid w:val="009103C1"/>
    <w:rsid w:val="00910A48"/>
    <w:rsid w:val="00910B7D"/>
    <w:rsid w:val="0091114C"/>
    <w:rsid w:val="00911DFB"/>
    <w:rsid w:val="00912DFE"/>
    <w:rsid w:val="009139D9"/>
    <w:rsid w:val="0091406B"/>
    <w:rsid w:val="009141B2"/>
    <w:rsid w:val="00914AD8"/>
    <w:rsid w:val="00915676"/>
    <w:rsid w:val="00916079"/>
    <w:rsid w:val="00916D74"/>
    <w:rsid w:val="00916FAA"/>
    <w:rsid w:val="00917A2A"/>
    <w:rsid w:val="00917CE9"/>
    <w:rsid w:val="00917E33"/>
    <w:rsid w:val="0092052D"/>
    <w:rsid w:val="0092075B"/>
    <w:rsid w:val="00920BF2"/>
    <w:rsid w:val="00922010"/>
    <w:rsid w:val="00922D8D"/>
    <w:rsid w:val="00924318"/>
    <w:rsid w:val="0092445C"/>
    <w:rsid w:val="00924A60"/>
    <w:rsid w:val="00924FA9"/>
    <w:rsid w:val="00924FF5"/>
    <w:rsid w:val="0092541B"/>
    <w:rsid w:val="0092610D"/>
    <w:rsid w:val="00927403"/>
    <w:rsid w:val="00927B78"/>
    <w:rsid w:val="00927D16"/>
    <w:rsid w:val="00927E38"/>
    <w:rsid w:val="00930CAE"/>
    <w:rsid w:val="00931431"/>
    <w:rsid w:val="00931BD9"/>
    <w:rsid w:val="0093252D"/>
    <w:rsid w:val="00935508"/>
    <w:rsid w:val="0093572B"/>
    <w:rsid w:val="00935BE0"/>
    <w:rsid w:val="00936463"/>
    <w:rsid w:val="009368F3"/>
    <w:rsid w:val="00941636"/>
    <w:rsid w:val="00942072"/>
    <w:rsid w:val="00942BE9"/>
    <w:rsid w:val="00942F82"/>
    <w:rsid w:val="00943742"/>
    <w:rsid w:val="00945C05"/>
    <w:rsid w:val="00945CC0"/>
    <w:rsid w:val="00946114"/>
    <w:rsid w:val="00946608"/>
    <w:rsid w:val="00946945"/>
    <w:rsid w:val="00947713"/>
    <w:rsid w:val="00950DE7"/>
    <w:rsid w:val="00952501"/>
    <w:rsid w:val="00952780"/>
    <w:rsid w:val="00952AC4"/>
    <w:rsid w:val="00953920"/>
    <w:rsid w:val="00953ADA"/>
    <w:rsid w:val="00953D47"/>
    <w:rsid w:val="00953E35"/>
    <w:rsid w:val="009541EE"/>
    <w:rsid w:val="00954B69"/>
    <w:rsid w:val="0095681E"/>
    <w:rsid w:val="00956AF3"/>
    <w:rsid w:val="00956B6C"/>
    <w:rsid w:val="00956EC3"/>
    <w:rsid w:val="0095700B"/>
    <w:rsid w:val="009572D4"/>
    <w:rsid w:val="009608B4"/>
    <w:rsid w:val="00961724"/>
    <w:rsid w:val="00961921"/>
    <w:rsid w:val="0096202E"/>
    <w:rsid w:val="009626D4"/>
    <w:rsid w:val="00962AC3"/>
    <w:rsid w:val="00962DE3"/>
    <w:rsid w:val="0096304A"/>
    <w:rsid w:val="009630DE"/>
    <w:rsid w:val="00963861"/>
    <w:rsid w:val="0096430A"/>
    <w:rsid w:val="0096554B"/>
    <w:rsid w:val="0096584A"/>
    <w:rsid w:val="009700FF"/>
    <w:rsid w:val="009703CD"/>
    <w:rsid w:val="00970532"/>
    <w:rsid w:val="00971633"/>
    <w:rsid w:val="00971D54"/>
    <w:rsid w:val="00971F08"/>
    <w:rsid w:val="009741C8"/>
    <w:rsid w:val="009746B9"/>
    <w:rsid w:val="009753E6"/>
    <w:rsid w:val="0097567F"/>
    <w:rsid w:val="0097603D"/>
    <w:rsid w:val="0097692A"/>
    <w:rsid w:val="00976949"/>
    <w:rsid w:val="00976EAB"/>
    <w:rsid w:val="00976F0C"/>
    <w:rsid w:val="00980080"/>
    <w:rsid w:val="00980203"/>
    <w:rsid w:val="00980477"/>
    <w:rsid w:val="009804D6"/>
    <w:rsid w:val="00980FF7"/>
    <w:rsid w:val="00981803"/>
    <w:rsid w:val="00981FA9"/>
    <w:rsid w:val="00983706"/>
    <w:rsid w:val="009839B1"/>
    <w:rsid w:val="00983C15"/>
    <w:rsid w:val="00984AD2"/>
    <w:rsid w:val="009850FC"/>
    <w:rsid w:val="00985253"/>
    <w:rsid w:val="009853B3"/>
    <w:rsid w:val="009866DA"/>
    <w:rsid w:val="00986B12"/>
    <w:rsid w:val="009875ED"/>
    <w:rsid w:val="00990630"/>
    <w:rsid w:val="00991761"/>
    <w:rsid w:val="00991835"/>
    <w:rsid w:val="009926EE"/>
    <w:rsid w:val="00992EC1"/>
    <w:rsid w:val="00993CCD"/>
    <w:rsid w:val="00993FCB"/>
    <w:rsid w:val="00994417"/>
    <w:rsid w:val="00994D3A"/>
    <w:rsid w:val="00994DCA"/>
    <w:rsid w:val="009960EC"/>
    <w:rsid w:val="00996844"/>
    <w:rsid w:val="00996B08"/>
    <w:rsid w:val="00996B91"/>
    <w:rsid w:val="009970DD"/>
    <w:rsid w:val="009973EA"/>
    <w:rsid w:val="009A00F1"/>
    <w:rsid w:val="009A0B0B"/>
    <w:rsid w:val="009A0FBA"/>
    <w:rsid w:val="009A1601"/>
    <w:rsid w:val="009A1636"/>
    <w:rsid w:val="009A2080"/>
    <w:rsid w:val="009A285A"/>
    <w:rsid w:val="009A2C3F"/>
    <w:rsid w:val="009A32B0"/>
    <w:rsid w:val="009A3BB6"/>
    <w:rsid w:val="009A440E"/>
    <w:rsid w:val="009A462D"/>
    <w:rsid w:val="009A4923"/>
    <w:rsid w:val="009A534B"/>
    <w:rsid w:val="009A5CBA"/>
    <w:rsid w:val="009A5F66"/>
    <w:rsid w:val="009A5FF2"/>
    <w:rsid w:val="009A7CEF"/>
    <w:rsid w:val="009A7F52"/>
    <w:rsid w:val="009B107F"/>
    <w:rsid w:val="009B1314"/>
    <w:rsid w:val="009B1F30"/>
    <w:rsid w:val="009B1F65"/>
    <w:rsid w:val="009B274E"/>
    <w:rsid w:val="009B33AA"/>
    <w:rsid w:val="009B3AC2"/>
    <w:rsid w:val="009B3B2C"/>
    <w:rsid w:val="009B4A1E"/>
    <w:rsid w:val="009B4DF4"/>
    <w:rsid w:val="009B564E"/>
    <w:rsid w:val="009B67C9"/>
    <w:rsid w:val="009B6F32"/>
    <w:rsid w:val="009B78BC"/>
    <w:rsid w:val="009B7E87"/>
    <w:rsid w:val="009B7F65"/>
    <w:rsid w:val="009C0169"/>
    <w:rsid w:val="009C0884"/>
    <w:rsid w:val="009C0F05"/>
    <w:rsid w:val="009C2181"/>
    <w:rsid w:val="009C2F00"/>
    <w:rsid w:val="009C34C8"/>
    <w:rsid w:val="009C381D"/>
    <w:rsid w:val="009C403E"/>
    <w:rsid w:val="009C4208"/>
    <w:rsid w:val="009C54AF"/>
    <w:rsid w:val="009C5C43"/>
    <w:rsid w:val="009C6069"/>
    <w:rsid w:val="009C6BA2"/>
    <w:rsid w:val="009C6D8E"/>
    <w:rsid w:val="009D1B91"/>
    <w:rsid w:val="009D3B4F"/>
    <w:rsid w:val="009D4FF0"/>
    <w:rsid w:val="009D52EF"/>
    <w:rsid w:val="009D54EF"/>
    <w:rsid w:val="009D561B"/>
    <w:rsid w:val="009D5F5F"/>
    <w:rsid w:val="009D6388"/>
    <w:rsid w:val="009D703C"/>
    <w:rsid w:val="009D718F"/>
    <w:rsid w:val="009E0103"/>
    <w:rsid w:val="009E01A8"/>
    <w:rsid w:val="009E068F"/>
    <w:rsid w:val="009E11FA"/>
    <w:rsid w:val="009E136B"/>
    <w:rsid w:val="009E14E0"/>
    <w:rsid w:val="009E35DB"/>
    <w:rsid w:val="009E3E71"/>
    <w:rsid w:val="009E4032"/>
    <w:rsid w:val="009E4742"/>
    <w:rsid w:val="009E47A3"/>
    <w:rsid w:val="009E48F5"/>
    <w:rsid w:val="009E5992"/>
    <w:rsid w:val="009E6B6A"/>
    <w:rsid w:val="009E7563"/>
    <w:rsid w:val="009E7784"/>
    <w:rsid w:val="009E7FFD"/>
    <w:rsid w:val="009F08F3"/>
    <w:rsid w:val="009F0E7D"/>
    <w:rsid w:val="009F1C95"/>
    <w:rsid w:val="009F24ED"/>
    <w:rsid w:val="009F2693"/>
    <w:rsid w:val="009F2E7C"/>
    <w:rsid w:val="009F344F"/>
    <w:rsid w:val="009F44EC"/>
    <w:rsid w:val="009F53D4"/>
    <w:rsid w:val="009F6462"/>
    <w:rsid w:val="009F687E"/>
    <w:rsid w:val="00A00CF4"/>
    <w:rsid w:val="00A00E20"/>
    <w:rsid w:val="00A0125C"/>
    <w:rsid w:val="00A014FF"/>
    <w:rsid w:val="00A01EA8"/>
    <w:rsid w:val="00A01FB4"/>
    <w:rsid w:val="00A02228"/>
    <w:rsid w:val="00A027DB"/>
    <w:rsid w:val="00A031D8"/>
    <w:rsid w:val="00A03E7A"/>
    <w:rsid w:val="00A048A8"/>
    <w:rsid w:val="00A04F49"/>
    <w:rsid w:val="00A051E5"/>
    <w:rsid w:val="00A05BD4"/>
    <w:rsid w:val="00A05DE6"/>
    <w:rsid w:val="00A05FDE"/>
    <w:rsid w:val="00A06D4D"/>
    <w:rsid w:val="00A06EA5"/>
    <w:rsid w:val="00A07D3A"/>
    <w:rsid w:val="00A10E67"/>
    <w:rsid w:val="00A10EF4"/>
    <w:rsid w:val="00A119A4"/>
    <w:rsid w:val="00A11DA5"/>
    <w:rsid w:val="00A12263"/>
    <w:rsid w:val="00A12487"/>
    <w:rsid w:val="00A1302A"/>
    <w:rsid w:val="00A130D7"/>
    <w:rsid w:val="00A13E4C"/>
    <w:rsid w:val="00A13E54"/>
    <w:rsid w:val="00A142DF"/>
    <w:rsid w:val="00A144DA"/>
    <w:rsid w:val="00A1517E"/>
    <w:rsid w:val="00A15203"/>
    <w:rsid w:val="00A159C9"/>
    <w:rsid w:val="00A15CDA"/>
    <w:rsid w:val="00A16DA1"/>
    <w:rsid w:val="00A17B3F"/>
    <w:rsid w:val="00A17F63"/>
    <w:rsid w:val="00A17FCF"/>
    <w:rsid w:val="00A20400"/>
    <w:rsid w:val="00A20675"/>
    <w:rsid w:val="00A2193B"/>
    <w:rsid w:val="00A21A52"/>
    <w:rsid w:val="00A229D1"/>
    <w:rsid w:val="00A2351A"/>
    <w:rsid w:val="00A23922"/>
    <w:rsid w:val="00A245B6"/>
    <w:rsid w:val="00A25C14"/>
    <w:rsid w:val="00A25D78"/>
    <w:rsid w:val="00A263D0"/>
    <w:rsid w:val="00A264A9"/>
    <w:rsid w:val="00A26B3D"/>
    <w:rsid w:val="00A26DCF"/>
    <w:rsid w:val="00A27785"/>
    <w:rsid w:val="00A27B63"/>
    <w:rsid w:val="00A27E0F"/>
    <w:rsid w:val="00A30187"/>
    <w:rsid w:val="00A302E3"/>
    <w:rsid w:val="00A30B01"/>
    <w:rsid w:val="00A30E81"/>
    <w:rsid w:val="00A31E51"/>
    <w:rsid w:val="00A3448A"/>
    <w:rsid w:val="00A3565A"/>
    <w:rsid w:val="00A35FE0"/>
    <w:rsid w:val="00A36297"/>
    <w:rsid w:val="00A366F4"/>
    <w:rsid w:val="00A36F75"/>
    <w:rsid w:val="00A37317"/>
    <w:rsid w:val="00A40147"/>
    <w:rsid w:val="00A40AB5"/>
    <w:rsid w:val="00A41E2B"/>
    <w:rsid w:val="00A42081"/>
    <w:rsid w:val="00A422DA"/>
    <w:rsid w:val="00A424EE"/>
    <w:rsid w:val="00A4277D"/>
    <w:rsid w:val="00A42C04"/>
    <w:rsid w:val="00A43087"/>
    <w:rsid w:val="00A43288"/>
    <w:rsid w:val="00A4372D"/>
    <w:rsid w:val="00A43E75"/>
    <w:rsid w:val="00A45B74"/>
    <w:rsid w:val="00A45FBB"/>
    <w:rsid w:val="00A464E4"/>
    <w:rsid w:val="00A465EE"/>
    <w:rsid w:val="00A46B8D"/>
    <w:rsid w:val="00A47108"/>
    <w:rsid w:val="00A50349"/>
    <w:rsid w:val="00A50EE6"/>
    <w:rsid w:val="00A51435"/>
    <w:rsid w:val="00A514CA"/>
    <w:rsid w:val="00A51A1F"/>
    <w:rsid w:val="00A52E1D"/>
    <w:rsid w:val="00A53678"/>
    <w:rsid w:val="00A53D91"/>
    <w:rsid w:val="00A53EE0"/>
    <w:rsid w:val="00A54A4B"/>
    <w:rsid w:val="00A54FBE"/>
    <w:rsid w:val="00A55126"/>
    <w:rsid w:val="00A57825"/>
    <w:rsid w:val="00A60D8E"/>
    <w:rsid w:val="00A61142"/>
    <w:rsid w:val="00A61499"/>
    <w:rsid w:val="00A6227F"/>
    <w:rsid w:val="00A62557"/>
    <w:rsid w:val="00A62A77"/>
    <w:rsid w:val="00A63483"/>
    <w:rsid w:val="00A647C6"/>
    <w:rsid w:val="00A64A16"/>
    <w:rsid w:val="00A65167"/>
    <w:rsid w:val="00A657D7"/>
    <w:rsid w:val="00A659BE"/>
    <w:rsid w:val="00A65C4B"/>
    <w:rsid w:val="00A660AC"/>
    <w:rsid w:val="00A66A8A"/>
    <w:rsid w:val="00A67E6C"/>
    <w:rsid w:val="00A705F7"/>
    <w:rsid w:val="00A7162F"/>
    <w:rsid w:val="00A71B99"/>
    <w:rsid w:val="00A72D5A"/>
    <w:rsid w:val="00A731F5"/>
    <w:rsid w:val="00A732E3"/>
    <w:rsid w:val="00A739D0"/>
    <w:rsid w:val="00A74994"/>
    <w:rsid w:val="00A7570F"/>
    <w:rsid w:val="00A75741"/>
    <w:rsid w:val="00A761D4"/>
    <w:rsid w:val="00A7650D"/>
    <w:rsid w:val="00A765FA"/>
    <w:rsid w:val="00A7695D"/>
    <w:rsid w:val="00A76EAC"/>
    <w:rsid w:val="00A77626"/>
    <w:rsid w:val="00A7781C"/>
    <w:rsid w:val="00A77957"/>
    <w:rsid w:val="00A77EC4"/>
    <w:rsid w:val="00A81EF9"/>
    <w:rsid w:val="00A8574B"/>
    <w:rsid w:val="00A861D9"/>
    <w:rsid w:val="00A86420"/>
    <w:rsid w:val="00A86AF2"/>
    <w:rsid w:val="00A87AEF"/>
    <w:rsid w:val="00A91FC0"/>
    <w:rsid w:val="00A923A0"/>
    <w:rsid w:val="00A92710"/>
    <w:rsid w:val="00A92879"/>
    <w:rsid w:val="00A92AFF"/>
    <w:rsid w:val="00A93200"/>
    <w:rsid w:val="00A93C99"/>
    <w:rsid w:val="00A9442A"/>
    <w:rsid w:val="00A9487A"/>
    <w:rsid w:val="00A94F01"/>
    <w:rsid w:val="00A94F6D"/>
    <w:rsid w:val="00A9521D"/>
    <w:rsid w:val="00A95D18"/>
    <w:rsid w:val="00A96C93"/>
    <w:rsid w:val="00A96E18"/>
    <w:rsid w:val="00A97018"/>
    <w:rsid w:val="00A972D3"/>
    <w:rsid w:val="00A976EA"/>
    <w:rsid w:val="00A97DF2"/>
    <w:rsid w:val="00A97F22"/>
    <w:rsid w:val="00AA016F"/>
    <w:rsid w:val="00AA1452"/>
    <w:rsid w:val="00AA1ED6"/>
    <w:rsid w:val="00AA229C"/>
    <w:rsid w:val="00AA22EE"/>
    <w:rsid w:val="00AA2B6F"/>
    <w:rsid w:val="00AA4A1B"/>
    <w:rsid w:val="00AA4E7F"/>
    <w:rsid w:val="00AA50C0"/>
    <w:rsid w:val="00AA51D6"/>
    <w:rsid w:val="00AA5FF1"/>
    <w:rsid w:val="00AA628A"/>
    <w:rsid w:val="00AA6946"/>
    <w:rsid w:val="00AA78E0"/>
    <w:rsid w:val="00AB0013"/>
    <w:rsid w:val="00AB050C"/>
    <w:rsid w:val="00AB0B8E"/>
    <w:rsid w:val="00AB0BC8"/>
    <w:rsid w:val="00AB11CA"/>
    <w:rsid w:val="00AB14D9"/>
    <w:rsid w:val="00AB1FF1"/>
    <w:rsid w:val="00AB242D"/>
    <w:rsid w:val="00AB2A1A"/>
    <w:rsid w:val="00AB41AE"/>
    <w:rsid w:val="00AB488C"/>
    <w:rsid w:val="00AB4AB8"/>
    <w:rsid w:val="00AB5182"/>
    <w:rsid w:val="00AB524C"/>
    <w:rsid w:val="00AB5B0E"/>
    <w:rsid w:val="00AB655E"/>
    <w:rsid w:val="00AB6FD5"/>
    <w:rsid w:val="00AB707A"/>
    <w:rsid w:val="00AB7558"/>
    <w:rsid w:val="00AB7932"/>
    <w:rsid w:val="00AB7DB3"/>
    <w:rsid w:val="00AB7ED6"/>
    <w:rsid w:val="00AB7FBD"/>
    <w:rsid w:val="00AC007F"/>
    <w:rsid w:val="00AC0531"/>
    <w:rsid w:val="00AC1163"/>
    <w:rsid w:val="00AC177F"/>
    <w:rsid w:val="00AC216B"/>
    <w:rsid w:val="00AC2ECD"/>
    <w:rsid w:val="00AC3119"/>
    <w:rsid w:val="00AC3542"/>
    <w:rsid w:val="00AC38DF"/>
    <w:rsid w:val="00AC49FB"/>
    <w:rsid w:val="00AC4DFD"/>
    <w:rsid w:val="00AC5A10"/>
    <w:rsid w:val="00AC6386"/>
    <w:rsid w:val="00AC6B4D"/>
    <w:rsid w:val="00AC701D"/>
    <w:rsid w:val="00AC7314"/>
    <w:rsid w:val="00AD0218"/>
    <w:rsid w:val="00AD072E"/>
    <w:rsid w:val="00AD0AA3"/>
    <w:rsid w:val="00AD0B0A"/>
    <w:rsid w:val="00AD0E92"/>
    <w:rsid w:val="00AD2ED0"/>
    <w:rsid w:val="00AD3D04"/>
    <w:rsid w:val="00AD3F94"/>
    <w:rsid w:val="00AD4144"/>
    <w:rsid w:val="00AD4A5A"/>
    <w:rsid w:val="00AD51BF"/>
    <w:rsid w:val="00AD5E7B"/>
    <w:rsid w:val="00AD62F1"/>
    <w:rsid w:val="00AD6781"/>
    <w:rsid w:val="00AD679B"/>
    <w:rsid w:val="00AD68A2"/>
    <w:rsid w:val="00AD6A37"/>
    <w:rsid w:val="00AD778F"/>
    <w:rsid w:val="00AD78AE"/>
    <w:rsid w:val="00AE0187"/>
    <w:rsid w:val="00AE04F9"/>
    <w:rsid w:val="00AE12A8"/>
    <w:rsid w:val="00AE190A"/>
    <w:rsid w:val="00AE1D81"/>
    <w:rsid w:val="00AE27AC"/>
    <w:rsid w:val="00AE2A5F"/>
    <w:rsid w:val="00AE323F"/>
    <w:rsid w:val="00AE3F3B"/>
    <w:rsid w:val="00AE40E0"/>
    <w:rsid w:val="00AE4230"/>
    <w:rsid w:val="00AE4C38"/>
    <w:rsid w:val="00AE4DBA"/>
    <w:rsid w:val="00AE4F07"/>
    <w:rsid w:val="00AE6102"/>
    <w:rsid w:val="00AE6300"/>
    <w:rsid w:val="00AE73A6"/>
    <w:rsid w:val="00AE73B8"/>
    <w:rsid w:val="00AE7C89"/>
    <w:rsid w:val="00AF09B3"/>
    <w:rsid w:val="00AF1C5D"/>
    <w:rsid w:val="00AF24DE"/>
    <w:rsid w:val="00AF42D7"/>
    <w:rsid w:val="00AF450D"/>
    <w:rsid w:val="00AF45A3"/>
    <w:rsid w:val="00AF4645"/>
    <w:rsid w:val="00AF4CBD"/>
    <w:rsid w:val="00AF5762"/>
    <w:rsid w:val="00AF662A"/>
    <w:rsid w:val="00AF6C25"/>
    <w:rsid w:val="00AF734D"/>
    <w:rsid w:val="00AF7852"/>
    <w:rsid w:val="00AF7B31"/>
    <w:rsid w:val="00AF7E19"/>
    <w:rsid w:val="00B0053B"/>
    <w:rsid w:val="00B006FD"/>
    <w:rsid w:val="00B006FE"/>
    <w:rsid w:val="00B007CB"/>
    <w:rsid w:val="00B01D9E"/>
    <w:rsid w:val="00B02AA9"/>
    <w:rsid w:val="00B02BA4"/>
    <w:rsid w:val="00B02FA3"/>
    <w:rsid w:val="00B03807"/>
    <w:rsid w:val="00B03FD8"/>
    <w:rsid w:val="00B0457D"/>
    <w:rsid w:val="00B05084"/>
    <w:rsid w:val="00B051DA"/>
    <w:rsid w:val="00B051F9"/>
    <w:rsid w:val="00B054C2"/>
    <w:rsid w:val="00B06036"/>
    <w:rsid w:val="00B07217"/>
    <w:rsid w:val="00B078C4"/>
    <w:rsid w:val="00B1007E"/>
    <w:rsid w:val="00B1030A"/>
    <w:rsid w:val="00B11573"/>
    <w:rsid w:val="00B12027"/>
    <w:rsid w:val="00B127A3"/>
    <w:rsid w:val="00B13279"/>
    <w:rsid w:val="00B13591"/>
    <w:rsid w:val="00B1493F"/>
    <w:rsid w:val="00B14CF8"/>
    <w:rsid w:val="00B157F9"/>
    <w:rsid w:val="00B15F81"/>
    <w:rsid w:val="00B161D5"/>
    <w:rsid w:val="00B1672D"/>
    <w:rsid w:val="00B17026"/>
    <w:rsid w:val="00B173B1"/>
    <w:rsid w:val="00B20256"/>
    <w:rsid w:val="00B20D09"/>
    <w:rsid w:val="00B21F5E"/>
    <w:rsid w:val="00B230A1"/>
    <w:rsid w:val="00B23805"/>
    <w:rsid w:val="00B23A28"/>
    <w:rsid w:val="00B24494"/>
    <w:rsid w:val="00B24670"/>
    <w:rsid w:val="00B2500A"/>
    <w:rsid w:val="00B25C8A"/>
    <w:rsid w:val="00B25D80"/>
    <w:rsid w:val="00B260BF"/>
    <w:rsid w:val="00B261CE"/>
    <w:rsid w:val="00B26BD4"/>
    <w:rsid w:val="00B2763F"/>
    <w:rsid w:val="00B278BB"/>
    <w:rsid w:val="00B27AAC"/>
    <w:rsid w:val="00B30929"/>
    <w:rsid w:val="00B30B10"/>
    <w:rsid w:val="00B30C5D"/>
    <w:rsid w:val="00B30FD7"/>
    <w:rsid w:val="00B3285B"/>
    <w:rsid w:val="00B33B7E"/>
    <w:rsid w:val="00B33F73"/>
    <w:rsid w:val="00B33FD2"/>
    <w:rsid w:val="00B36141"/>
    <w:rsid w:val="00B361B8"/>
    <w:rsid w:val="00B372AA"/>
    <w:rsid w:val="00B37F9E"/>
    <w:rsid w:val="00B40445"/>
    <w:rsid w:val="00B409E0"/>
    <w:rsid w:val="00B40BC6"/>
    <w:rsid w:val="00B411D0"/>
    <w:rsid w:val="00B41888"/>
    <w:rsid w:val="00B41AC3"/>
    <w:rsid w:val="00B424AA"/>
    <w:rsid w:val="00B42B75"/>
    <w:rsid w:val="00B43424"/>
    <w:rsid w:val="00B43DEA"/>
    <w:rsid w:val="00B45A52"/>
    <w:rsid w:val="00B460AE"/>
    <w:rsid w:val="00B46175"/>
    <w:rsid w:val="00B4622A"/>
    <w:rsid w:val="00B46565"/>
    <w:rsid w:val="00B47B5A"/>
    <w:rsid w:val="00B47ED0"/>
    <w:rsid w:val="00B47F52"/>
    <w:rsid w:val="00B50332"/>
    <w:rsid w:val="00B50D0C"/>
    <w:rsid w:val="00B52DD9"/>
    <w:rsid w:val="00B5306C"/>
    <w:rsid w:val="00B53362"/>
    <w:rsid w:val="00B53C5C"/>
    <w:rsid w:val="00B53E2D"/>
    <w:rsid w:val="00B5410C"/>
    <w:rsid w:val="00B548B7"/>
    <w:rsid w:val="00B558E1"/>
    <w:rsid w:val="00B566D6"/>
    <w:rsid w:val="00B56A26"/>
    <w:rsid w:val="00B56B54"/>
    <w:rsid w:val="00B56BEE"/>
    <w:rsid w:val="00B57246"/>
    <w:rsid w:val="00B5779B"/>
    <w:rsid w:val="00B6147A"/>
    <w:rsid w:val="00B61D67"/>
    <w:rsid w:val="00B621C4"/>
    <w:rsid w:val="00B6221B"/>
    <w:rsid w:val="00B625BC"/>
    <w:rsid w:val="00B62F63"/>
    <w:rsid w:val="00B633EB"/>
    <w:rsid w:val="00B63626"/>
    <w:rsid w:val="00B63C32"/>
    <w:rsid w:val="00B63FFC"/>
    <w:rsid w:val="00B64956"/>
    <w:rsid w:val="00B6530E"/>
    <w:rsid w:val="00B65413"/>
    <w:rsid w:val="00B664C7"/>
    <w:rsid w:val="00B665F5"/>
    <w:rsid w:val="00B670D5"/>
    <w:rsid w:val="00B674A4"/>
    <w:rsid w:val="00B67529"/>
    <w:rsid w:val="00B67F0F"/>
    <w:rsid w:val="00B70275"/>
    <w:rsid w:val="00B713D8"/>
    <w:rsid w:val="00B71DDF"/>
    <w:rsid w:val="00B72AE9"/>
    <w:rsid w:val="00B73495"/>
    <w:rsid w:val="00B73611"/>
    <w:rsid w:val="00B7368E"/>
    <w:rsid w:val="00B739F6"/>
    <w:rsid w:val="00B74259"/>
    <w:rsid w:val="00B7455D"/>
    <w:rsid w:val="00B74F9D"/>
    <w:rsid w:val="00B75F02"/>
    <w:rsid w:val="00B76171"/>
    <w:rsid w:val="00B762BF"/>
    <w:rsid w:val="00B766F5"/>
    <w:rsid w:val="00B76C4F"/>
    <w:rsid w:val="00B76EF4"/>
    <w:rsid w:val="00B7745A"/>
    <w:rsid w:val="00B778CB"/>
    <w:rsid w:val="00B77E4F"/>
    <w:rsid w:val="00B80309"/>
    <w:rsid w:val="00B80661"/>
    <w:rsid w:val="00B81008"/>
    <w:rsid w:val="00B8197E"/>
    <w:rsid w:val="00B81A6C"/>
    <w:rsid w:val="00B82E7C"/>
    <w:rsid w:val="00B83612"/>
    <w:rsid w:val="00B8409D"/>
    <w:rsid w:val="00B85DE5"/>
    <w:rsid w:val="00B8669E"/>
    <w:rsid w:val="00B86D34"/>
    <w:rsid w:val="00B8705B"/>
    <w:rsid w:val="00B87A81"/>
    <w:rsid w:val="00B90E01"/>
    <w:rsid w:val="00B90F73"/>
    <w:rsid w:val="00B92B58"/>
    <w:rsid w:val="00B93B59"/>
    <w:rsid w:val="00B93F2D"/>
    <w:rsid w:val="00B9406A"/>
    <w:rsid w:val="00B96377"/>
    <w:rsid w:val="00B96AF7"/>
    <w:rsid w:val="00B96EBC"/>
    <w:rsid w:val="00BA04A6"/>
    <w:rsid w:val="00BA18A2"/>
    <w:rsid w:val="00BA19A1"/>
    <w:rsid w:val="00BA2280"/>
    <w:rsid w:val="00BA2410"/>
    <w:rsid w:val="00BA2A08"/>
    <w:rsid w:val="00BA2B6B"/>
    <w:rsid w:val="00BA2D6D"/>
    <w:rsid w:val="00BA3E95"/>
    <w:rsid w:val="00BA3FA7"/>
    <w:rsid w:val="00BA45BB"/>
    <w:rsid w:val="00BA45F7"/>
    <w:rsid w:val="00BA524D"/>
    <w:rsid w:val="00BA558E"/>
    <w:rsid w:val="00BA56D2"/>
    <w:rsid w:val="00BA576F"/>
    <w:rsid w:val="00BA64D2"/>
    <w:rsid w:val="00BA6715"/>
    <w:rsid w:val="00BA7034"/>
    <w:rsid w:val="00BA76E0"/>
    <w:rsid w:val="00BB15A2"/>
    <w:rsid w:val="00BB176E"/>
    <w:rsid w:val="00BB1C2D"/>
    <w:rsid w:val="00BB1E9C"/>
    <w:rsid w:val="00BB2165"/>
    <w:rsid w:val="00BB2A25"/>
    <w:rsid w:val="00BB312A"/>
    <w:rsid w:val="00BB4016"/>
    <w:rsid w:val="00BB428E"/>
    <w:rsid w:val="00BB51E9"/>
    <w:rsid w:val="00BB5D25"/>
    <w:rsid w:val="00BB5F40"/>
    <w:rsid w:val="00BB5FDB"/>
    <w:rsid w:val="00BB6339"/>
    <w:rsid w:val="00BB72E3"/>
    <w:rsid w:val="00BC0AB7"/>
    <w:rsid w:val="00BC0FDC"/>
    <w:rsid w:val="00BC2A3D"/>
    <w:rsid w:val="00BC3053"/>
    <w:rsid w:val="00BC3DE4"/>
    <w:rsid w:val="00BC4D2E"/>
    <w:rsid w:val="00BC5953"/>
    <w:rsid w:val="00BC7772"/>
    <w:rsid w:val="00BC79E6"/>
    <w:rsid w:val="00BD065A"/>
    <w:rsid w:val="00BD0C53"/>
    <w:rsid w:val="00BD0FD1"/>
    <w:rsid w:val="00BD16B0"/>
    <w:rsid w:val="00BD20D5"/>
    <w:rsid w:val="00BD37DE"/>
    <w:rsid w:val="00BD48AC"/>
    <w:rsid w:val="00BD4B24"/>
    <w:rsid w:val="00BD4E8B"/>
    <w:rsid w:val="00BD4FED"/>
    <w:rsid w:val="00BD521F"/>
    <w:rsid w:val="00BD5F1A"/>
    <w:rsid w:val="00BD61B7"/>
    <w:rsid w:val="00BD660B"/>
    <w:rsid w:val="00BE03AF"/>
    <w:rsid w:val="00BE1234"/>
    <w:rsid w:val="00BE13AB"/>
    <w:rsid w:val="00BE230C"/>
    <w:rsid w:val="00BE2851"/>
    <w:rsid w:val="00BE2FA6"/>
    <w:rsid w:val="00BE31CD"/>
    <w:rsid w:val="00BE333F"/>
    <w:rsid w:val="00BE48D3"/>
    <w:rsid w:val="00BE4948"/>
    <w:rsid w:val="00BE564D"/>
    <w:rsid w:val="00BE6148"/>
    <w:rsid w:val="00BE7231"/>
    <w:rsid w:val="00BE7406"/>
    <w:rsid w:val="00BE7603"/>
    <w:rsid w:val="00BE7AF5"/>
    <w:rsid w:val="00BF0229"/>
    <w:rsid w:val="00BF0CC0"/>
    <w:rsid w:val="00BF0E3D"/>
    <w:rsid w:val="00BF1086"/>
    <w:rsid w:val="00BF2052"/>
    <w:rsid w:val="00BF2C0E"/>
    <w:rsid w:val="00BF3279"/>
    <w:rsid w:val="00BF35ED"/>
    <w:rsid w:val="00BF3B9A"/>
    <w:rsid w:val="00BF3CC2"/>
    <w:rsid w:val="00BF43B3"/>
    <w:rsid w:val="00BF4738"/>
    <w:rsid w:val="00BF47DD"/>
    <w:rsid w:val="00BF4AF2"/>
    <w:rsid w:val="00BF5BE6"/>
    <w:rsid w:val="00BF6223"/>
    <w:rsid w:val="00BF64B6"/>
    <w:rsid w:val="00BF658A"/>
    <w:rsid w:val="00BF67D2"/>
    <w:rsid w:val="00BF68AB"/>
    <w:rsid w:val="00BF68D6"/>
    <w:rsid w:val="00BF6F23"/>
    <w:rsid w:val="00BF74C7"/>
    <w:rsid w:val="00BF79B1"/>
    <w:rsid w:val="00BF7EBF"/>
    <w:rsid w:val="00C00DEA"/>
    <w:rsid w:val="00C01251"/>
    <w:rsid w:val="00C0149B"/>
    <w:rsid w:val="00C015F1"/>
    <w:rsid w:val="00C01D28"/>
    <w:rsid w:val="00C01F33"/>
    <w:rsid w:val="00C02CC6"/>
    <w:rsid w:val="00C03A17"/>
    <w:rsid w:val="00C040F7"/>
    <w:rsid w:val="00C04348"/>
    <w:rsid w:val="00C044AB"/>
    <w:rsid w:val="00C05081"/>
    <w:rsid w:val="00C05706"/>
    <w:rsid w:val="00C06010"/>
    <w:rsid w:val="00C07377"/>
    <w:rsid w:val="00C0760B"/>
    <w:rsid w:val="00C10478"/>
    <w:rsid w:val="00C10FB7"/>
    <w:rsid w:val="00C1165A"/>
    <w:rsid w:val="00C12107"/>
    <w:rsid w:val="00C1267B"/>
    <w:rsid w:val="00C132CB"/>
    <w:rsid w:val="00C13AA5"/>
    <w:rsid w:val="00C13D06"/>
    <w:rsid w:val="00C13EDF"/>
    <w:rsid w:val="00C143A0"/>
    <w:rsid w:val="00C14D4B"/>
    <w:rsid w:val="00C153CC"/>
    <w:rsid w:val="00C154BB"/>
    <w:rsid w:val="00C15903"/>
    <w:rsid w:val="00C16281"/>
    <w:rsid w:val="00C1743B"/>
    <w:rsid w:val="00C17EE6"/>
    <w:rsid w:val="00C17EF3"/>
    <w:rsid w:val="00C2083F"/>
    <w:rsid w:val="00C209D4"/>
    <w:rsid w:val="00C2199B"/>
    <w:rsid w:val="00C227D0"/>
    <w:rsid w:val="00C23519"/>
    <w:rsid w:val="00C23A53"/>
    <w:rsid w:val="00C243A6"/>
    <w:rsid w:val="00C247CA"/>
    <w:rsid w:val="00C2483C"/>
    <w:rsid w:val="00C24DA4"/>
    <w:rsid w:val="00C27492"/>
    <w:rsid w:val="00C278A8"/>
    <w:rsid w:val="00C279B5"/>
    <w:rsid w:val="00C27C45"/>
    <w:rsid w:val="00C30755"/>
    <w:rsid w:val="00C30C75"/>
    <w:rsid w:val="00C31BF9"/>
    <w:rsid w:val="00C31D12"/>
    <w:rsid w:val="00C32917"/>
    <w:rsid w:val="00C3295F"/>
    <w:rsid w:val="00C32EFB"/>
    <w:rsid w:val="00C3312F"/>
    <w:rsid w:val="00C33F48"/>
    <w:rsid w:val="00C344EA"/>
    <w:rsid w:val="00C34DEC"/>
    <w:rsid w:val="00C3519E"/>
    <w:rsid w:val="00C36072"/>
    <w:rsid w:val="00C360CF"/>
    <w:rsid w:val="00C3664F"/>
    <w:rsid w:val="00C3695A"/>
    <w:rsid w:val="00C37043"/>
    <w:rsid w:val="00C3719D"/>
    <w:rsid w:val="00C37CB2"/>
    <w:rsid w:val="00C37D54"/>
    <w:rsid w:val="00C40A6D"/>
    <w:rsid w:val="00C40A7E"/>
    <w:rsid w:val="00C41330"/>
    <w:rsid w:val="00C4188A"/>
    <w:rsid w:val="00C42ABF"/>
    <w:rsid w:val="00C42E8A"/>
    <w:rsid w:val="00C434AE"/>
    <w:rsid w:val="00C46A46"/>
    <w:rsid w:val="00C473A5"/>
    <w:rsid w:val="00C4786E"/>
    <w:rsid w:val="00C47C3F"/>
    <w:rsid w:val="00C52255"/>
    <w:rsid w:val="00C52375"/>
    <w:rsid w:val="00C52D6A"/>
    <w:rsid w:val="00C53F59"/>
    <w:rsid w:val="00C54435"/>
    <w:rsid w:val="00C54995"/>
    <w:rsid w:val="00C54BED"/>
    <w:rsid w:val="00C54D41"/>
    <w:rsid w:val="00C54FD1"/>
    <w:rsid w:val="00C56EF4"/>
    <w:rsid w:val="00C57697"/>
    <w:rsid w:val="00C60577"/>
    <w:rsid w:val="00C6071A"/>
    <w:rsid w:val="00C60783"/>
    <w:rsid w:val="00C6093D"/>
    <w:rsid w:val="00C60F41"/>
    <w:rsid w:val="00C60F80"/>
    <w:rsid w:val="00C62386"/>
    <w:rsid w:val="00C633F0"/>
    <w:rsid w:val="00C637FF"/>
    <w:rsid w:val="00C639AF"/>
    <w:rsid w:val="00C63A34"/>
    <w:rsid w:val="00C63B62"/>
    <w:rsid w:val="00C63C83"/>
    <w:rsid w:val="00C64095"/>
    <w:rsid w:val="00C64672"/>
    <w:rsid w:val="00C64EDA"/>
    <w:rsid w:val="00C65007"/>
    <w:rsid w:val="00C65491"/>
    <w:rsid w:val="00C658C7"/>
    <w:rsid w:val="00C67616"/>
    <w:rsid w:val="00C67AFF"/>
    <w:rsid w:val="00C70697"/>
    <w:rsid w:val="00C717C9"/>
    <w:rsid w:val="00C72093"/>
    <w:rsid w:val="00C728A7"/>
    <w:rsid w:val="00C72EF4"/>
    <w:rsid w:val="00C744FE"/>
    <w:rsid w:val="00C74AA3"/>
    <w:rsid w:val="00C7505F"/>
    <w:rsid w:val="00C7520A"/>
    <w:rsid w:val="00C75D2F"/>
    <w:rsid w:val="00C767BE"/>
    <w:rsid w:val="00C76820"/>
    <w:rsid w:val="00C76CE0"/>
    <w:rsid w:val="00C76E3C"/>
    <w:rsid w:val="00C7763E"/>
    <w:rsid w:val="00C77724"/>
    <w:rsid w:val="00C77BC7"/>
    <w:rsid w:val="00C808F3"/>
    <w:rsid w:val="00C81568"/>
    <w:rsid w:val="00C81630"/>
    <w:rsid w:val="00C81825"/>
    <w:rsid w:val="00C8199C"/>
    <w:rsid w:val="00C82D30"/>
    <w:rsid w:val="00C83961"/>
    <w:rsid w:val="00C83E26"/>
    <w:rsid w:val="00C83F84"/>
    <w:rsid w:val="00C84818"/>
    <w:rsid w:val="00C84DC4"/>
    <w:rsid w:val="00C8528A"/>
    <w:rsid w:val="00C85942"/>
    <w:rsid w:val="00C864E2"/>
    <w:rsid w:val="00C86F7D"/>
    <w:rsid w:val="00C9012D"/>
    <w:rsid w:val="00C9027A"/>
    <w:rsid w:val="00C902DE"/>
    <w:rsid w:val="00C9068E"/>
    <w:rsid w:val="00C906BB"/>
    <w:rsid w:val="00C90E52"/>
    <w:rsid w:val="00C9106D"/>
    <w:rsid w:val="00C9107D"/>
    <w:rsid w:val="00C912B8"/>
    <w:rsid w:val="00C91684"/>
    <w:rsid w:val="00C9263D"/>
    <w:rsid w:val="00C93720"/>
    <w:rsid w:val="00C93814"/>
    <w:rsid w:val="00C93C4B"/>
    <w:rsid w:val="00C93CC5"/>
    <w:rsid w:val="00C944AB"/>
    <w:rsid w:val="00C95B40"/>
    <w:rsid w:val="00C95DC0"/>
    <w:rsid w:val="00C96D5D"/>
    <w:rsid w:val="00C9721F"/>
    <w:rsid w:val="00C972DE"/>
    <w:rsid w:val="00C97649"/>
    <w:rsid w:val="00C97AE4"/>
    <w:rsid w:val="00C97DC3"/>
    <w:rsid w:val="00CA0100"/>
    <w:rsid w:val="00CA1ED8"/>
    <w:rsid w:val="00CA2731"/>
    <w:rsid w:val="00CA283D"/>
    <w:rsid w:val="00CA2892"/>
    <w:rsid w:val="00CA2AA7"/>
    <w:rsid w:val="00CA2FA6"/>
    <w:rsid w:val="00CA3CBC"/>
    <w:rsid w:val="00CA3F8D"/>
    <w:rsid w:val="00CA4867"/>
    <w:rsid w:val="00CA5258"/>
    <w:rsid w:val="00CA55C8"/>
    <w:rsid w:val="00CA5623"/>
    <w:rsid w:val="00CA5BC2"/>
    <w:rsid w:val="00CA5EDF"/>
    <w:rsid w:val="00CA6061"/>
    <w:rsid w:val="00CA6219"/>
    <w:rsid w:val="00CA625B"/>
    <w:rsid w:val="00CB083C"/>
    <w:rsid w:val="00CB1F63"/>
    <w:rsid w:val="00CB235E"/>
    <w:rsid w:val="00CB26D7"/>
    <w:rsid w:val="00CB2AB5"/>
    <w:rsid w:val="00CB5177"/>
    <w:rsid w:val="00CB65EC"/>
    <w:rsid w:val="00CB681A"/>
    <w:rsid w:val="00CB6DD9"/>
    <w:rsid w:val="00CB7170"/>
    <w:rsid w:val="00CB75CE"/>
    <w:rsid w:val="00CB7FC4"/>
    <w:rsid w:val="00CC040E"/>
    <w:rsid w:val="00CC05B6"/>
    <w:rsid w:val="00CC111F"/>
    <w:rsid w:val="00CC157F"/>
    <w:rsid w:val="00CC1B73"/>
    <w:rsid w:val="00CC2011"/>
    <w:rsid w:val="00CC2296"/>
    <w:rsid w:val="00CC3C3A"/>
    <w:rsid w:val="00CC3EA0"/>
    <w:rsid w:val="00CC4668"/>
    <w:rsid w:val="00CC49E8"/>
    <w:rsid w:val="00CC4A18"/>
    <w:rsid w:val="00CC5EE1"/>
    <w:rsid w:val="00CC6919"/>
    <w:rsid w:val="00CC6A38"/>
    <w:rsid w:val="00CC71D0"/>
    <w:rsid w:val="00CC7893"/>
    <w:rsid w:val="00CC7B45"/>
    <w:rsid w:val="00CC7EE3"/>
    <w:rsid w:val="00CD056E"/>
    <w:rsid w:val="00CD08EC"/>
    <w:rsid w:val="00CD0AA0"/>
    <w:rsid w:val="00CD1188"/>
    <w:rsid w:val="00CD1CA8"/>
    <w:rsid w:val="00CD2D15"/>
    <w:rsid w:val="00CD2ED1"/>
    <w:rsid w:val="00CD337B"/>
    <w:rsid w:val="00CD3697"/>
    <w:rsid w:val="00CD3AB1"/>
    <w:rsid w:val="00CD3CBF"/>
    <w:rsid w:val="00CD4500"/>
    <w:rsid w:val="00CD5346"/>
    <w:rsid w:val="00CD5D79"/>
    <w:rsid w:val="00CD6EA1"/>
    <w:rsid w:val="00CD6EDA"/>
    <w:rsid w:val="00CD7432"/>
    <w:rsid w:val="00CE0424"/>
    <w:rsid w:val="00CE042E"/>
    <w:rsid w:val="00CE0733"/>
    <w:rsid w:val="00CE0F50"/>
    <w:rsid w:val="00CE112E"/>
    <w:rsid w:val="00CE2F8B"/>
    <w:rsid w:val="00CE39E9"/>
    <w:rsid w:val="00CE3B29"/>
    <w:rsid w:val="00CE44A3"/>
    <w:rsid w:val="00CE4882"/>
    <w:rsid w:val="00CE4D30"/>
    <w:rsid w:val="00CE4FEE"/>
    <w:rsid w:val="00CE583E"/>
    <w:rsid w:val="00CE589B"/>
    <w:rsid w:val="00CE5AA1"/>
    <w:rsid w:val="00CE6155"/>
    <w:rsid w:val="00CE6762"/>
    <w:rsid w:val="00CE6900"/>
    <w:rsid w:val="00CE7561"/>
    <w:rsid w:val="00CE792D"/>
    <w:rsid w:val="00CF04B6"/>
    <w:rsid w:val="00CF1354"/>
    <w:rsid w:val="00CF2150"/>
    <w:rsid w:val="00CF282E"/>
    <w:rsid w:val="00CF318F"/>
    <w:rsid w:val="00CF330A"/>
    <w:rsid w:val="00CF3842"/>
    <w:rsid w:val="00CF38BF"/>
    <w:rsid w:val="00CF3B1F"/>
    <w:rsid w:val="00CF3BF6"/>
    <w:rsid w:val="00CF4604"/>
    <w:rsid w:val="00CF4851"/>
    <w:rsid w:val="00CF4AE9"/>
    <w:rsid w:val="00CF4D5C"/>
    <w:rsid w:val="00CF625B"/>
    <w:rsid w:val="00CF627C"/>
    <w:rsid w:val="00CF66E3"/>
    <w:rsid w:val="00CF687E"/>
    <w:rsid w:val="00CF7BA9"/>
    <w:rsid w:val="00CF7E13"/>
    <w:rsid w:val="00CF7FFD"/>
    <w:rsid w:val="00D003B8"/>
    <w:rsid w:val="00D01A1A"/>
    <w:rsid w:val="00D0349B"/>
    <w:rsid w:val="00D036B6"/>
    <w:rsid w:val="00D0388F"/>
    <w:rsid w:val="00D04D9F"/>
    <w:rsid w:val="00D05667"/>
    <w:rsid w:val="00D079BD"/>
    <w:rsid w:val="00D079D0"/>
    <w:rsid w:val="00D07D52"/>
    <w:rsid w:val="00D10249"/>
    <w:rsid w:val="00D109EE"/>
    <w:rsid w:val="00D10B26"/>
    <w:rsid w:val="00D10ECA"/>
    <w:rsid w:val="00D10F0B"/>
    <w:rsid w:val="00D115C3"/>
    <w:rsid w:val="00D11819"/>
    <w:rsid w:val="00D11844"/>
    <w:rsid w:val="00D11897"/>
    <w:rsid w:val="00D1262E"/>
    <w:rsid w:val="00D13071"/>
    <w:rsid w:val="00D13135"/>
    <w:rsid w:val="00D137D4"/>
    <w:rsid w:val="00D137F7"/>
    <w:rsid w:val="00D13994"/>
    <w:rsid w:val="00D13E4E"/>
    <w:rsid w:val="00D14003"/>
    <w:rsid w:val="00D14D1C"/>
    <w:rsid w:val="00D14DE3"/>
    <w:rsid w:val="00D173BB"/>
    <w:rsid w:val="00D175C0"/>
    <w:rsid w:val="00D213A2"/>
    <w:rsid w:val="00D217E3"/>
    <w:rsid w:val="00D22012"/>
    <w:rsid w:val="00D23238"/>
    <w:rsid w:val="00D239A7"/>
    <w:rsid w:val="00D23F47"/>
    <w:rsid w:val="00D23FDC"/>
    <w:rsid w:val="00D2671A"/>
    <w:rsid w:val="00D26C08"/>
    <w:rsid w:val="00D279EF"/>
    <w:rsid w:val="00D30A5D"/>
    <w:rsid w:val="00D30CD5"/>
    <w:rsid w:val="00D3291A"/>
    <w:rsid w:val="00D32A2D"/>
    <w:rsid w:val="00D3455A"/>
    <w:rsid w:val="00D348E2"/>
    <w:rsid w:val="00D34D9F"/>
    <w:rsid w:val="00D3526E"/>
    <w:rsid w:val="00D36E71"/>
    <w:rsid w:val="00D370E7"/>
    <w:rsid w:val="00D37530"/>
    <w:rsid w:val="00D37781"/>
    <w:rsid w:val="00D37D87"/>
    <w:rsid w:val="00D40103"/>
    <w:rsid w:val="00D408BB"/>
    <w:rsid w:val="00D40B33"/>
    <w:rsid w:val="00D42C48"/>
    <w:rsid w:val="00D43017"/>
    <w:rsid w:val="00D4302F"/>
    <w:rsid w:val="00D4318F"/>
    <w:rsid w:val="00D438BF"/>
    <w:rsid w:val="00D4394C"/>
    <w:rsid w:val="00D43B50"/>
    <w:rsid w:val="00D440F8"/>
    <w:rsid w:val="00D446C2"/>
    <w:rsid w:val="00D44812"/>
    <w:rsid w:val="00D45508"/>
    <w:rsid w:val="00D458FF"/>
    <w:rsid w:val="00D4755A"/>
    <w:rsid w:val="00D4781E"/>
    <w:rsid w:val="00D47845"/>
    <w:rsid w:val="00D47A99"/>
    <w:rsid w:val="00D51103"/>
    <w:rsid w:val="00D517F8"/>
    <w:rsid w:val="00D518E7"/>
    <w:rsid w:val="00D52402"/>
    <w:rsid w:val="00D524DC"/>
    <w:rsid w:val="00D5282B"/>
    <w:rsid w:val="00D528EB"/>
    <w:rsid w:val="00D52A3F"/>
    <w:rsid w:val="00D53816"/>
    <w:rsid w:val="00D546FF"/>
    <w:rsid w:val="00D54EA8"/>
    <w:rsid w:val="00D55A9B"/>
    <w:rsid w:val="00D55AD5"/>
    <w:rsid w:val="00D56D09"/>
    <w:rsid w:val="00D576CA"/>
    <w:rsid w:val="00D603EC"/>
    <w:rsid w:val="00D608A1"/>
    <w:rsid w:val="00D609C5"/>
    <w:rsid w:val="00D60A66"/>
    <w:rsid w:val="00D61268"/>
    <w:rsid w:val="00D617FB"/>
    <w:rsid w:val="00D61AF5"/>
    <w:rsid w:val="00D628DA"/>
    <w:rsid w:val="00D62FAC"/>
    <w:rsid w:val="00D634A4"/>
    <w:rsid w:val="00D647BB"/>
    <w:rsid w:val="00D647C8"/>
    <w:rsid w:val="00D652B5"/>
    <w:rsid w:val="00D65451"/>
    <w:rsid w:val="00D66155"/>
    <w:rsid w:val="00D6696C"/>
    <w:rsid w:val="00D669EF"/>
    <w:rsid w:val="00D7017C"/>
    <w:rsid w:val="00D70711"/>
    <w:rsid w:val="00D708B0"/>
    <w:rsid w:val="00D70D90"/>
    <w:rsid w:val="00D7112B"/>
    <w:rsid w:val="00D71331"/>
    <w:rsid w:val="00D72354"/>
    <w:rsid w:val="00D73ACF"/>
    <w:rsid w:val="00D74101"/>
    <w:rsid w:val="00D7425B"/>
    <w:rsid w:val="00D76522"/>
    <w:rsid w:val="00D77B1D"/>
    <w:rsid w:val="00D8021F"/>
    <w:rsid w:val="00D80383"/>
    <w:rsid w:val="00D8077F"/>
    <w:rsid w:val="00D8093D"/>
    <w:rsid w:val="00D80EBD"/>
    <w:rsid w:val="00D81C52"/>
    <w:rsid w:val="00D81CED"/>
    <w:rsid w:val="00D81F2D"/>
    <w:rsid w:val="00D820E9"/>
    <w:rsid w:val="00D8221A"/>
    <w:rsid w:val="00D823C6"/>
    <w:rsid w:val="00D8327F"/>
    <w:rsid w:val="00D83903"/>
    <w:rsid w:val="00D850AB"/>
    <w:rsid w:val="00D8629A"/>
    <w:rsid w:val="00D86CA3"/>
    <w:rsid w:val="00D87064"/>
    <w:rsid w:val="00D871CE"/>
    <w:rsid w:val="00D8741B"/>
    <w:rsid w:val="00D87E5D"/>
    <w:rsid w:val="00D90203"/>
    <w:rsid w:val="00D90AF8"/>
    <w:rsid w:val="00D9196D"/>
    <w:rsid w:val="00D92982"/>
    <w:rsid w:val="00D93663"/>
    <w:rsid w:val="00D94312"/>
    <w:rsid w:val="00D94D92"/>
    <w:rsid w:val="00D94E0E"/>
    <w:rsid w:val="00D956A5"/>
    <w:rsid w:val="00D95A56"/>
    <w:rsid w:val="00D962FF"/>
    <w:rsid w:val="00D96334"/>
    <w:rsid w:val="00D97650"/>
    <w:rsid w:val="00D97F3C"/>
    <w:rsid w:val="00DA0110"/>
    <w:rsid w:val="00DA0DC3"/>
    <w:rsid w:val="00DA0E2F"/>
    <w:rsid w:val="00DA14FF"/>
    <w:rsid w:val="00DA1870"/>
    <w:rsid w:val="00DA293A"/>
    <w:rsid w:val="00DA2A31"/>
    <w:rsid w:val="00DA305E"/>
    <w:rsid w:val="00DA3844"/>
    <w:rsid w:val="00DA3A5E"/>
    <w:rsid w:val="00DA49B3"/>
    <w:rsid w:val="00DA4B1D"/>
    <w:rsid w:val="00DA4DC0"/>
    <w:rsid w:val="00DA5417"/>
    <w:rsid w:val="00DA5470"/>
    <w:rsid w:val="00DA56E8"/>
    <w:rsid w:val="00DA5E4F"/>
    <w:rsid w:val="00DA64BC"/>
    <w:rsid w:val="00DA6D81"/>
    <w:rsid w:val="00DA7995"/>
    <w:rsid w:val="00DB07A1"/>
    <w:rsid w:val="00DB0A9F"/>
    <w:rsid w:val="00DB189B"/>
    <w:rsid w:val="00DB1C6C"/>
    <w:rsid w:val="00DB2A0B"/>
    <w:rsid w:val="00DB2AFC"/>
    <w:rsid w:val="00DB3002"/>
    <w:rsid w:val="00DB377D"/>
    <w:rsid w:val="00DB470A"/>
    <w:rsid w:val="00DB4B7C"/>
    <w:rsid w:val="00DB5297"/>
    <w:rsid w:val="00DB548A"/>
    <w:rsid w:val="00DB7BA3"/>
    <w:rsid w:val="00DC12D4"/>
    <w:rsid w:val="00DC1A27"/>
    <w:rsid w:val="00DC1A4F"/>
    <w:rsid w:val="00DC2A00"/>
    <w:rsid w:val="00DC2D36"/>
    <w:rsid w:val="00DC2E81"/>
    <w:rsid w:val="00DC3282"/>
    <w:rsid w:val="00DC37FE"/>
    <w:rsid w:val="00DC3A56"/>
    <w:rsid w:val="00DC3FD1"/>
    <w:rsid w:val="00DC4327"/>
    <w:rsid w:val="00DC4EE9"/>
    <w:rsid w:val="00DC4F72"/>
    <w:rsid w:val="00DC53EF"/>
    <w:rsid w:val="00DC709C"/>
    <w:rsid w:val="00DC7982"/>
    <w:rsid w:val="00DC7FD6"/>
    <w:rsid w:val="00DD06F7"/>
    <w:rsid w:val="00DD0EAC"/>
    <w:rsid w:val="00DD0F21"/>
    <w:rsid w:val="00DD24AB"/>
    <w:rsid w:val="00DD28B0"/>
    <w:rsid w:val="00DD2943"/>
    <w:rsid w:val="00DD2CED"/>
    <w:rsid w:val="00DD2E94"/>
    <w:rsid w:val="00DD3B22"/>
    <w:rsid w:val="00DD4785"/>
    <w:rsid w:val="00DD58C4"/>
    <w:rsid w:val="00DD5FAF"/>
    <w:rsid w:val="00DD6391"/>
    <w:rsid w:val="00DD6F6F"/>
    <w:rsid w:val="00DD7900"/>
    <w:rsid w:val="00DD7CA8"/>
    <w:rsid w:val="00DE0CD0"/>
    <w:rsid w:val="00DE1453"/>
    <w:rsid w:val="00DE1AA8"/>
    <w:rsid w:val="00DE26AF"/>
    <w:rsid w:val="00DE3FFE"/>
    <w:rsid w:val="00DE4BC4"/>
    <w:rsid w:val="00DE5608"/>
    <w:rsid w:val="00DE58D0"/>
    <w:rsid w:val="00DE5E3B"/>
    <w:rsid w:val="00DE654F"/>
    <w:rsid w:val="00DE7002"/>
    <w:rsid w:val="00DE7076"/>
    <w:rsid w:val="00DF02CE"/>
    <w:rsid w:val="00DF091A"/>
    <w:rsid w:val="00DF0A03"/>
    <w:rsid w:val="00DF0B6E"/>
    <w:rsid w:val="00DF15E0"/>
    <w:rsid w:val="00DF2887"/>
    <w:rsid w:val="00DF2BB0"/>
    <w:rsid w:val="00DF3075"/>
    <w:rsid w:val="00DF37A0"/>
    <w:rsid w:val="00DF4627"/>
    <w:rsid w:val="00DF54DC"/>
    <w:rsid w:val="00DF5545"/>
    <w:rsid w:val="00DF6452"/>
    <w:rsid w:val="00DF6827"/>
    <w:rsid w:val="00DF696D"/>
    <w:rsid w:val="00DF7293"/>
    <w:rsid w:val="00DF785A"/>
    <w:rsid w:val="00E00794"/>
    <w:rsid w:val="00E01B96"/>
    <w:rsid w:val="00E028BB"/>
    <w:rsid w:val="00E028D3"/>
    <w:rsid w:val="00E02A67"/>
    <w:rsid w:val="00E02DC5"/>
    <w:rsid w:val="00E0379F"/>
    <w:rsid w:val="00E054CA"/>
    <w:rsid w:val="00E05FBD"/>
    <w:rsid w:val="00E0620A"/>
    <w:rsid w:val="00E064C8"/>
    <w:rsid w:val="00E06759"/>
    <w:rsid w:val="00E06C9E"/>
    <w:rsid w:val="00E07146"/>
    <w:rsid w:val="00E0721D"/>
    <w:rsid w:val="00E076F3"/>
    <w:rsid w:val="00E10845"/>
    <w:rsid w:val="00E110E7"/>
    <w:rsid w:val="00E111F9"/>
    <w:rsid w:val="00E11B20"/>
    <w:rsid w:val="00E1247A"/>
    <w:rsid w:val="00E1252B"/>
    <w:rsid w:val="00E12DC5"/>
    <w:rsid w:val="00E13672"/>
    <w:rsid w:val="00E142E7"/>
    <w:rsid w:val="00E16072"/>
    <w:rsid w:val="00E164BC"/>
    <w:rsid w:val="00E1660C"/>
    <w:rsid w:val="00E16C22"/>
    <w:rsid w:val="00E175C3"/>
    <w:rsid w:val="00E177CF"/>
    <w:rsid w:val="00E17D7C"/>
    <w:rsid w:val="00E17FA2"/>
    <w:rsid w:val="00E20643"/>
    <w:rsid w:val="00E206D2"/>
    <w:rsid w:val="00E21356"/>
    <w:rsid w:val="00E21BF4"/>
    <w:rsid w:val="00E21DDF"/>
    <w:rsid w:val="00E21E97"/>
    <w:rsid w:val="00E22330"/>
    <w:rsid w:val="00E22B42"/>
    <w:rsid w:val="00E22D8F"/>
    <w:rsid w:val="00E23153"/>
    <w:rsid w:val="00E23FDA"/>
    <w:rsid w:val="00E2468D"/>
    <w:rsid w:val="00E2529F"/>
    <w:rsid w:val="00E26669"/>
    <w:rsid w:val="00E26F51"/>
    <w:rsid w:val="00E27803"/>
    <w:rsid w:val="00E278BA"/>
    <w:rsid w:val="00E279C4"/>
    <w:rsid w:val="00E3059A"/>
    <w:rsid w:val="00E30B5A"/>
    <w:rsid w:val="00E3123D"/>
    <w:rsid w:val="00E31461"/>
    <w:rsid w:val="00E31605"/>
    <w:rsid w:val="00E31A92"/>
    <w:rsid w:val="00E31D43"/>
    <w:rsid w:val="00E32367"/>
    <w:rsid w:val="00E3237E"/>
    <w:rsid w:val="00E32608"/>
    <w:rsid w:val="00E3289F"/>
    <w:rsid w:val="00E339D1"/>
    <w:rsid w:val="00E33DBA"/>
    <w:rsid w:val="00E34188"/>
    <w:rsid w:val="00E34B6E"/>
    <w:rsid w:val="00E34CE3"/>
    <w:rsid w:val="00E34F83"/>
    <w:rsid w:val="00E35559"/>
    <w:rsid w:val="00E359A1"/>
    <w:rsid w:val="00E35AE9"/>
    <w:rsid w:val="00E365AA"/>
    <w:rsid w:val="00E3723A"/>
    <w:rsid w:val="00E37448"/>
    <w:rsid w:val="00E375AB"/>
    <w:rsid w:val="00E37860"/>
    <w:rsid w:val="00E37B02"/>
    <w:rsid w:val="00E405C7"/>
    <w:rsid w:val="00E40B2F"/>
    <w:rsid w:val="00E420FB"/>
    <w:rsid w:val="00E43320"/>
    <w:rsid w:val="00E443F2"/>
    <w:rsid w:val="00E446F1"/>
    <w:rsid w:val="00E44B9E"/>
    <w:rsid w:val="00E45060"/>
    <w:rsid w:val="00E45463"/>
    <w:rsid w:val="00E45E4B"/>
    <w:rsid w:val="00E46886"/>
    <w:rsid w:val="00E47239"/>
    <w:rsid w:val="00E47AEF"/>
    <w:rsid w:val="00E50215"/>
    <w:rsid w:val="00E50C8E"/>
    <w:rsid w:val="00E50CBE"/>
    <w:rsid w:val="00E50D5A"/>
    <w:rsid w:val="00E513A8"/>
    <w:rsid w:val="00E51728"/>
    <w:rsid w:val="00E51E21"/>
    <w:rsid w:val="00E51E76"/>
    <w:rsid w:val="00E52ABD"/>
    <w:rsid w:val="00E536F8"/>
    <w:rsid w:val="00E53A4C"/>
    <w:rsid w:val="00E53AD0"/>
    <w:rsid w:val="00E53B75"/>
    <w:rsid w:val="00E546D3"/>
    <w:rsid w:val="00E54E3B"/>
    <w:rsid w:val="00E55170"/>
    <w:rsid w:val="00E55599"/>
    <w:rsid w:val="00E55833"/>
    <w:rsid w:val="00E56B2C"/>
    <w:rsid w:val="00E56CDA"/>
    <w:rsid w:val="00E57565"/>
    <w:rsid w:val="00E60461"/>
    <w:rsid w:val="00E60843"/>
    <w:rsid w:val="00E60AC0"/>
    <w:rsid w:val="00E618D4"/>
    <w:rsid w:val="00E62175"/>
    <w:rsid w:val="00E62F2F"/>
    <w:rsid w:val="00E63838"/>
    <w:rsid w:val="00E63A0E"/>
    <w:rsid w:val="00E6418F"/>
    <w:rsid w:val="00E64218"/>
    <w:rsid w:val="00E64434"/>
    <w:rsid w:val="00E64853"/>
    <w:rsid w:val="00E673DC"/>
    <w:rsid w:val="00E67C51"/>
    <w:rsid w:val="00E7148B"/>
    <w:rsid w:val="00E7157E"/>
    <w:rsid w:val="00E715F0"/>
    <w:rsid w:val="00E7167E"/>
    <w:rsid w:val="00E72405"/>
    <w:rsid w:val="00E72EFC"/>
    <w:rsid w:val="00E730AB"/>
    <w:rsid w:val="00E7317F"/>
    <w:rsid w:val="00E73FFF"/>
    <w:rsid w:val="00E75257"/>
    <w:rsid w:val="00E75533"/>
    <w:rsid w:val="00E75881"/>
    <w:rsid w:val="00E758EC"/>
    <w:rsid w:val="00E75A1F"/>
    <w:rsid w:val="00E75A26"/>
    <w:rsid w:val="00E75E9D"/>
    <w:rsid w:val="00E76BBB"/>
    <w:rsid w:val="00E774CB"/>
    <w:rsid w:val="00E775C4"/>
    <w:rsid w:val="00E77D90"/>
    <w:rsid w:val="00E80717"/>
    <w:rsid w:val="00E8234C"/>
    <w:rsid w:val="00E82B0D"/>
    <w:rsid w:val="00E83AA9"/>
    <w:rsid w:val="00E84914"/>
    <w:rsid w:val="00E84AA6"/>
    <w:rsid w:val="00E85210"/>
    <w:rsid w:val="00E855C3"/>
    <w:rsid w:val="00E855E2"/>
    <w:rsid w:val="00E85928"/>
    <w:rsid w:val="00E85C97"/>
    <w:rsid w:val="00E862A0"/>
    <w:rsid w:val="00E87822"/>
    <w:rsid w:val="00E90395"/>
    <w:rsid w:val="00E904A1"/>
    <w:rsid w:val="00E90A56"/>
    <w:rsid w:val="00E90E49"/>
    <w:rsid w:val="00E917F9"/>
    <w:rsid w:val="00E9189D"/>
    <w:rsid w:val="00E91B0F"/>
    <w:rsid w:val="00E9206F"/>
    <w:rsid w:val="00E9291C"/>
    <w:rsid w:val="00E93EFE"/>
    <w:rsid w:val="00E93FFE"/>
    <w:rsid w:val="00E94580"/>
    <w:rsid w:val="00E9458C"/>
    <w:rsid w:val="00E94E21"/>
    <w:rsid w:val="00E94F8A"/>
    <w:rsid w:val="00E96E59"/>
    <w:rsid w:val="00E97838"/>
    <w:rsid w:val="00E97B45"/>
    <w:rsid w:val="00EA00A6"/>
    <w:rsid w:val="00EA085D"/>
    <w:rsid w:val="00EA1270"/>
    <w:rsid w:val="00EA1401"/>
    <w:rsid w:val="00EA3B70"/>
    <w:rsid w:val="00EA3D59"/>
    <w:rsid w:val="00EA495D"/>
    <w:rsid w:val="00EA70E3"/>
    <w:rsid w:val="00EA7A41"/>
    <w:rsid w:val="00EB077B"/>
    <w:rsid w:val="00EB1AF3"/>
    <w:rsid w:val="00EB2351"/>
    <w:rsid w:val="00EB3A4C"/>
    <w:rsid w:val="00EB4817"/>
    <w:rsid w:val="00EB487D"/>
    <w:rsid w:val="00EB4AA2"/>
    <w:rsid w:val="00EB4EA2"/>
    <w:rsid w:val="00EB506A"/>
    <w:rsid w:val="00EB6BE1"/>
    <w:rsid w:val="00EB70A4"/>
    <w:rsid w:val="00EB7E08"/>
    <w:rsid w:val="00EC0149"/>
    <w:rsid w:val="00EC05FF"/>
    <w:rsid w:val="00EC0E6F"/>
    <w:rsid w:val="00EC18F6"/>
    <w:rsid w:val="00EC1B68"/>
    <w:rsid w:val="00EC24D5"/>
    <w:rsid w:val="00EC25F4"/>
    <w:rsid w:val="00EC27C6"/>
    <w:rsid w:val="00EC351B"/>
    <w:rsid w:val="00EC4207"/>
    <w:rsid w:val="00EC4324"/>
    <w:rsid w:val="00EC4D58"/>
    <w:rsid w:val="00EC4D79"/>
    <w:rsid w:val="00EC500D"/>
    <w:rsid w:val="00EC515B"/>
    <w:rsid w:val="00EC5283"/>
    <w:rsid w:val="00EC5653"/>
    <w:rsid w:val="00EC608A"/>
    <w:rsid w:val="00EC62E6"/>
    <w:rsid w:val="00EC71CE"/>
    <w:rsid w:val="00EC7346"/>
    <w:rsid w:val="00EC73FC"/>
    <w:rsid w:val="00ED0BFE"/>
    <w:rsid w:val="00ED1006"/>
    <w:rsid w:val="00ED15B9"/>
    <w:rsid w:val="00ED1720"/>
    <w:rsid w:val="00ED1EFA"/>
    <w:rsid w:val="00ED28FE"/>
    <w:rsid w:val="00ED4505"/>
    <w:rsid w:val="00ED4A51"/>
    <w:rsid w:val="00ED5155"/>
    <w:rsid w:val="00ED6412"/>
    <w:rsid w:val="00ED692D"/>
    <w:rsid w:val="00ED6FFA"/>
    <w:rsid w:val="00EE0DD9"/>
    <w:rsid w:val="00EE1635"/>
    <w:rsid w:val="00EE177D"/>
    <w:rsid w:val="00EE31F3"/>
    <w:rsid w:val="00EE5044"/>
    <w:rsid w:val="00EE67F9"/>
    <w:rsid w:val="00EE73EB"/>
    <w:rsid w:val="00EE776F"/>
    <w:rsid w:val="00EE77D6"/>
    <w:rsid w:val="00EF0916"/>
    <w:rsid w:val="00EF0D71"/>
    <w:rsid w:val="00EF18FE"/>
    <w:rsid w:val="00EF1FD1"/>
    <w:rsid w:val="00EF28A8"/>
    <w:rsid w:val="00EF2C08"/>
    <w:rsid w:val="00EF349C"/>
    <w:rsid w:val="00EF3E6B"/>
    <w:rsid w:val="00EF5026"/>
    <w:rsid w:val="00EF5787"/>
    <w:rsid w:val="00EF5998"/>
    <w:rsid w:val="00EF5B66"/>
    <w:rsid w:val="00EF60D0"/>
    <w:rsid w:val="00EF7270"/>
    <w:rsid w:val="00EF776E"/>
    <w:rsid w:val="00EF780D"/>
    <w:rsid w:val="00EF7925"/>
    <w:rsid w:val="00F007B9"/>
    <w:rsid w:val="00F00921"/>
    <w:rsid w:val="00F0112B"/>
    <w:rsid w:val="00F0253B"/>
    <w:rsid w:val="00F03AD4"/>
    <w:rsid w:val="00F0409C"/>
    <w:rsid w:val="00F040EE"/>
    <w:rsid w:val="00F04424"/>
    <w:rsid w:val="00F0528D"/>
    <w:rsid w:val="00F06C67"/>
    <w:rsid w:val="00F06DFD"/>
    <w:rsid w:val="00F071D1"/>
    <w:rsid w:val="00F07533"/>
    <w:rsid w:val="00F076EE"/>
    <w:rsid w:val="00F07C7C"/>
    <w:rsid w:val="00F10629"/>
    <w:rsid w:val="00F127C5"/>
    <w:rsid w:val="00F12972"/>
    <w:rsid w:val="00F13280"/>
    <w:rsid w:val="00F13290"/>
    <w:rsid w:val="00F1397C"/>
    <w:rsid w:val="00F15FA5"/>
    <w:rsid w:val="00F17161"/>
    <w:rsid w:val="00F2001A"/>
    <w:rsid w:val="00F204DF"/>
    <w:rsid w:val="00F209B7"/>
    <w:rsid w:val="00F20CA2"/>
    <w:rsid w:val="00F2131E"/>
    <w:rsid w:val="00F221B2"/>
    <w:rsid w:val="00F2223E"/>
    <w:rsid w:val="00F22E65"/>
    <w:rsid w:val="00F23503"/>
    <w:rsid w:val="00F2376F"/>
    <w:rsid w:val="00F2422E"/>
    <w:rsid w:val="00F2425F"/>
    <w:rsid w:val="00F243D8"/>
    <w:rsid w:val="00F2450B"/>
    <w:rsid w:val="00F2603F"/>
    <w:rsid w:val="00F26162"/>
    <w:rsid w:val="00F261E7"/>
    <w:rsid w:val="00F2669F"/>
    <w:rsid w:val="00F27BA4"/>
    <w:rsid w:val="00F3069B"/>
    <w:rsid w:val="00F30828"/>
    <w:rsid w:val="00F3136D"/>
    <w:rsid w:val="00F313D6"/>
    <w:rsid w:val="00F31AE3"/>
    <w:rsid w:val="00F323EF"/>
    <w:rsid w:val="00F325F9"/>
    <w:rsid w:val="00F339EF"/>
    <w:rsid w:val="00F34480"/>
    <w:rsid w:val="00F34D45"/>
    <w:rsid w:val="00F36719"/>
    <w:rsid w:val="00F371F2"/>
    <w:rsid w:val="00F40163"/>
    <w:rsid w:val="00F407E8"/>
    <w:rsid w:val="00F40A4F"/>
    <w:rsid w:val="00F40F0C"/>
    <w:rsid w:val="00F42494"/>
    <w:rsid w:val="00F42F09"/>
    <w:rsid w:val="00F43177"/>
    <w:rsid w:val="00F450FA"/>
    <w:rsid w:val="00F45A7A"/>
    <w:rsid w:val="00F46D18"/>
    <w:rsid w:val="00F47517"/>
    <w:rsid w:val="00F47543"/>
    <w:rsid w:val="00F4766C"/>
    <w:rsid w:val="00F47B1A"/>
    <w:rsid w:val="00F47B41"/>
    <w:rsid w:val="00F502E8"/>
    <w:rsid w:val="00F5030F"/>
    <w:rsid w:val="00F5060E"/>
    <w:rsid w:val="00F507D1"/>
    <w:rsid w:val="00F50A73"/>
    <w:rsid w:val="00F519CE"/>
    <w:rsid w:val="00F51ADA"/>
    <w:rsid w:val="00F53289"/>
    <w:rsid w:val="00F538ED"/>
    <w:rsid w:val="00F53CB2"/>
    <w:rsid w:val="00F541A4"/>
    <w:rsid w:val="00F54EC8"/>
    <w:rsid w:val="00F556D7"/>
    <w:rsid w:val="00F55F26"/>
    <w:rsid w:val="00F60203"/>
    <w:rsid w:val="00F6031F"/>
    <w:rsid w:val="00F607C5"/>
    <w:rsid w:val="00F60DEA"/>
    <w:rsid w:val="00F6151A"/>
    <w:rsid w:val="00F6173D"/>
    <w:rsid w:val="00F62586"/>
    <w:rsid w:val="00F626BD"/>
    <w:rsid w:val="00F6274B"/>
    <w:rsid w:val="00F62EA7"/>
    <w:rsid w:val="00F6302A"/>
    <w:rsid w:val="00F637BE"/>
    <w:rsid w:val="00F63950"/>
    <w:rsid w:val="00F63B6E"/>
    <w:rsid w:val="00F63C25"/>
    <w:rsid w:val="00F64176"/>
    <w:rsid w:val="00F64C01"/>
    <w:rsid w:val="00F64C2B"/>
    <w:rsid w:val="00F64C67"/>
    <w:rsid w:val="00F64DE6"/>
    <w:rsid w:val="00F651BE"/>
    <w:rsid w:val="00F6675D"/>
    <w:rsid w:val="00F667A0"/>
    <w:rsid w:val="00F66D84"/>
    <w:rsid w:val="00F67856"/>
    <w:rsid w:val="00F67F53"/>
    <w:rsid w:val="00F702BE"/>
    <w:rsid w:val="00F703BE"/>
    <w:rsid w:val="00F71330"/>
    <w:rsid w:val="00F71995"/>
    <w:rsid w:val="00F71ACA"/>
    <w:rsid w:val="00F71F69"/>
    <w:rsid w:val="00F72B72"/>
    <w:rsid w:val="00F72BC9"/>
    <w:rsid w:val="00F74BB9"/>
    <w:rsid w:val="00F74D59"/>
    <w:rsid w:val="00F75582"/>
    <w:rsid w:val="00F75B4B"/>
    <w:rsid w:val="00F75C57"/>
    <w:rsid w:val="00F76EFA"/>
    <w:rsid w:val="00F774E0"/>
    <w:rsid w:val="00F778CD"/>
    <w:rsid w:val="00F80126"/>
    <w:rsid w:val="00F804BE"/>
    <w:rsid w:val="00F80EC9"/>
    <w:rsid w:val="00F817CE"/>
    <w:rsid w:val="00F8269F"/>
    <w:rsid w:val="00F82C54"/>
    <w:rsid w:val="00F83015"/>
    <w:rsid w:val="00F8323C"/>
    <w:rsid w:val="00F840D5"/>
    <w:rsid w:val="00F84131"/>
    <w:rsid w:val="00F8451E"/>
    <w:rsid w:val="00F8456C"/>
    <w:rsid w:val="00F8492F"/>
    <w:rsid w:val="00F84BFC"/>
    <w:rsid w:val="00F8563A"/>
    <w:rsid w:val="00F8576D"/>
    <w:rsid w:val="00F859D8"/>
    <w:rsid w:val="00F8651A"/>
    <w:rsid w:val="00F86651"/>
    <w:rsid w:val="00F868F5"/>
    <w:rsid w:val="00F87B55"/>
    <w:rsid w:val="00F900F8"/>
    <w:rsid w:val="00F9056A"/>
    <w:rsid w:val="00F90F8D"/>
    <w:rsid w:val="00F917C9"/>
    <w:rsid w:val="00F91CFE"/>
    <w:rsid w:val="00F92782"/>
    <w:rsid w:val="00F929CC"/>
    <w:rsid w:val="00F92F0B"/>
    <w:rsid w:val="00F93AA9"/>
    <w:rsid w:val="00F93E3D"/>
    <w:rsid w:val="00F94621"/>
    <w:rsid w:val="00F95738"/>
    <w:rsid w:val="00F9613A"/>
    <w:rsid w:val="00F9664F"/>
    <w:rsid w:val="00F96985"/>
    <w:rsid w:val="00F96EB0"/>
    <w:rsid w:val="00F97838"/>
    <w:rsid w:val="00FA184A"/>
    <w:rsid w:val="00FA22A5"/>
    <w:rsid w:val="00FA2A9F"/>
    <w:rsid w:val="00FA2BB3"/>
    <w:rsid w:val="00FA2CE5"/>
    <w:rsid w:val="00FA4102"/>
    <w:rsid w:val="00FA4989"/>
    <w:rsid w:val="00FA55A3"/>
    <w:rsid w:val="00FA5807"/>
    <w:rsid w:val="00FA59E2"/>
    <w:rsid w:val="00FA6062"/>
    <w:rsid w:val="00FA66F6"/>
    <w:rsid w:val="00FA6D88"/>
    <w:rsid w:val="00FA71D2"/>
    <w:rsid w:val="00FB0091"/>
    <w:rsid w:val="00FB084A"/>
    <w:rsid w:val="00FB13CE"/>
    <w:rsid w:val="00FB15B0"/>
    <w:rsid w:val="00FB1644"/>
    <w:rsid w:val="00FB33CF"/>
    <w:rsid w:val="00FB46FB"/>
    <w:rsid w:val="00FB4C80"/>
    <w:rsid w:val="00FB4CBA"/>
    <w:rsid w:val="00FB5152"/>
    <w:rsid w:val="00FB545B"/>
    <w:rsid w:val="00FB56DF"/>
    <w:rsid w:val="00FB5BD5"/>
    <w:rsid w:val="00FB5F53"/>
    <w:rsid w:val="00FB6A6A"/>
    <w:rsid w:val="00FB6F52"/>
    <w:rsid w:val="00FB778F"/>
    <w:rsid w:val="00FB7F8F"/>
    <w:rsid w:val="00FC0E82"/>
    <w:rsid w:val="00FC2555"/>
    <w:rsid w:val="00FC2572"/>
    <w:rsid w:val="00FC2906"/>
    <w:rsid w:val="00FC2FCA"/>
    <w:rsid w:val="00FC384F"/>
    <w:rsid w:val="00FC546F"/>
    <w:rsid w:val="00FC58BB"/>
    <w:rsid w:val="00FC5A2C"/>
    <w:rsid w:val="00FC6328"/>
    <w:rsid w:val="00FC6A4A"/>
    <w:rsid w:val="00FC7143"/>
    <w:rsid w:val="00FC7429"/>
    <w:rsid w:val="00FC74D6"/>
    <w:rsid w:val="00FC76D7"/>
    <w:rsid w:val="00FD07F6"/>
    <w:rsid w:val="00FD0DDA"/>
    <w:rsid w:val="00FD1EC8"/>
    <w:rsid w:val="00FD2C37"/>
    <w:rsid w:val="00FD2DE5"/>
    <w:rsid w:val="00FD3D75"/>
    <w:rsid w:val="00FD47ED"/>
    <w:rsid w:val="00FD4DC4"/>
    <w:rsid w:val="00FD530B"/>
    <w:rsid w:val="00FD5488"/>
    <w:rsid w:val="00FD5780"/>
    <w:rsid w:val="00FD5E68"/>
    <w:rsid w:val="00FD7498"/>
    <w:rsid w:val="00FD74DB"/>
    <w:rsid w:val="00FD7660"/>
    <w:rsid w:val="00FD7C99"/>
    <w:rsid w:val="00FE0655"/>
    <w:rsid w:val="00FE1E56"/>
    <w:rsid w:val="00FE20DE"/>
    <w:rsid w:val="00FE21AA"/>
    <w:rsid w:val="00FE2365"/>
    <w:rsid w:val="00FE3131"/>
    <w:rsid w:val="00FE3492"/>
    <w:rsid w:val="00FE37D7"/>
    <w:rsid w:val="00FE4C7B"/>
    <w:rsid w:val="00FE4F2F"/>
    <w:rsid w:val="00FE4F5E"/>
    <w:rsid w:val="00FE5DCE"/>
    <w:rsid w:val="00FE64B0"/>
    <w:rsid w:val="00FE6E5C"/>
    <w:rsid w:val="00FE6F9E"/>
    <w:rsid w:val="00FE7278"/>
    <w:rsid w:val="00FE7336"/>
    <w:rsid w:val="00FE77C1"/>
    <w:rsid w:val="00FE787C"/>
    <w:rsid w:val="00FE7E4F"/>
    <w:rsid w:val="00FF0188"/>
    <w:rsid w:val="00FF02F8"/>
    <w:rsid w:val="00FF239F"/>
    <w:rsid w:val="00FF24C3"/>
    <w:rsid w:val="00FF295C"/>
    <w:rsid w:val="00FF45A5"/>
    <w:rsid w:val="00FF4A5A"/>
    <w:rsid w:val="00FF5C91"/>
    <w:rsid w:val="00FF77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numPr>
        <w:numId w:val="44"/>
      </w:numPr>
      <w:tabs>
        <w:tab w:val="right" w:leader="dot" w:pos="9639"/>
      </w:tabs>
      <w:overflowPunct w:val="0"/>
      <w:autoSpaceDE w:val="0"/>
      <w:autoSpaceDN w:val="0"/>
      <w:adjustRightInd w:val="0"/>
      <w:spacing w:before="120"/>
      <w:ind w:right="425"/>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DD0F21"/>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536F8"/>
    <w:rPr>
      <w:color w:val="808080"/>
    </w:rPr>
  </w:style>
  <w:style w:type="paragraph" w:styleId="Revision">
    <w:name w:val="Revision"/>
    <w:hidden/>
    <w:uiPriority w:val="99"/>
    <w:semiHidden/>
    <w:rsid w:val="000F69C8"/>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291856"/>
    <w:rPr>
      <w:color w:val="605E5C"/>
      <w:shd w:val="clear" w:color="auto" w:fill="E1DFDD"/>
    </w:rPr>
  </w:style>
  <w:style w:type="paragraph" w:styleId="TOCHeading">
    <w:name w:val="TOC Heading"/>
    <w:basedOn w:val="Heading1"/>
    <w:next w:val="Normal"/>
    <w:uiPriority w:val="39"/>
    <w:unhideWhenUsed/>
    <w:qFormat/>
    <w:rsid w:val="0054255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StyleListParagraph-BulletsLista1">
    <w:name w:val="Style List Paragraph- Bullets목록 단락リスト段落Lista1?? ???????????..."/>
    <w:basedOn w:val="ListParagraph"/>
    <w:rsid w:val="009E48F5"/>
    <w:pPr>
      <w:jc w:val="both"/>
    </w:pPr>
    <w:rPr>
      <w:rFonts w:ascii="Arial" w:eastAsia="Times New Roman" w:hAnsi="Arial" w:cs="Times New Roman"/>
      <w:szCs w:val="20"/>
    </w:rPr>
  </w:style>
  <w:style w:type="paragraph" w:customStyle="1" w:styleId="StyleListParagraph-BulletsLista11">
    <w:name w:val="Style List Paragraph- Bullets목록 단락リスト段落Lista1?? ???????????...1"/>
    <w:basedOn w:val="ListParagraph"/>
    <w:rsid w:val="001718B7"/>
    <w:pPr>
      <w:jc w:val="both"/>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0166">
      <w:bodyDiv w:val="1"/>
      <w:marLeft w:val="0"/>
      <w:marRight w:val="0"/>
      <w:marTop w:val="0"/>
      <w:marBottom w:val="0"/>
      <w:divBdr>
        <w:top w:val="none" w:sz="0" w:space="0" w:color="auto"/>
        <w:left w:val="none" w:sz="0" w:space="0" w:color="auto"/>
        <w:bottom w:val="none" w:sz="0" w:space="0" w:color="auto"/>
        <w:right w:val="none" w:sz="0" w:space="0" w:color="auto"/>
      </w:divBdr>
      <w:divsChild>
        <w:div w:id="13658971">
          <w:marLeft w:val="2261"/>
          <w:marRight w:val="0"/>
          <w:marTop w:val="60"/>
          <w:marBottom w:val="0"/>
          <w:divBdr>
            <w:top w:val="none" w:sz="0" w:space="0" w:color="auto"/>
            <w:left w:val="none" w:sz="0" w:space="0" w:color="auto"/>
            <w:bottom w:val="none" w:sz="0" w:space="0" w:color="auto"/>
            <w:right w:val="none" w:sz="0" w:space="0" w:color="auto"/>
          </w:divBdr>
        </w:div>
        <w:div w:id="66266513">
          <w:marLeft w:val="1123"/>
          <w:marRight w:val="0"/>
          <w:marTop w:val="60"/>
          <w:marBottom w:val="0"/>
          <w:divBdr>
            <w:top w:val="none" w:sz="0" w:space="0" w:color="auto"/>
            <w:left w:val="none" w:sz="0" w:space="0" w:color="auto"/>
            <w:bottom w:val="none" w:sz="0" w:space="0" w:color="auto"/>
            <w:right w:val="none" w:sz="0" w:space="0" w:color="auto"/>
          </w:divBdr>
        </w:div>
        <w:div w:id="350108413">
          <w:marLeft w:val="1123"/>
          <w:marRight w:val="0"/>
          <w:marTop w:val="60"/>
          <w:marBottom w:val="0"/>
          <w:divBdr>
            <w:top w:val="none" w:sz="0" w:space="0" w:color="auto"/>
            <w:left w:val="none" w:sz="0" w:space="0" w:color="auto"/>
            <w:bottom w:val="none" w:sz="0" w:space="0" w:color="auto"/>
            <w:right w:val="none" w:sz="0" w:space="0" w:color="auto"/>
          </w:divBdr>
        </w:div>
        <w:div w:id="445317308">
          <w:marLeft w:val="547"/>
          <w:marRight w:val="0"/>
          <w:marTop w:val="60"/>
          <w:marBottom w:val="0"/>
          <w:divBdr>
            <w:top w:val="none" w:sz="0" w:space="0" w:color="auto"/>
            <w:left w:val="none" w:sz="0" w:space="0" w:color="auto"/>
            <w:bottom w:val="none" w:sz="0" w:space="0" w:color="auto"/>
            <w:right w:val="none" w:sz="0" w:space="0" w:color="auto"/>
          </w:divBdr>
        </w:div>
        <w:div w:id="565847642">
          <w:marLeft w:val="1123"/>
          <w:marRight w:val="0"/>
          <w:marTop w:val="60"/>
          <w:marBottom w:val="0"/>
          <w:divBdr>
            <w:top w:val="none" w:sz="0" w:space="0" w:color="auto"/>
            <w:left w:val="none" w:sz="0" w:space="0" w:color="auto"/>
            <w:bottom w:val="none" w:sz="0" w:space="0" w:color="auto"/>
            <w:right w:val="none" w:sz="0" w:space="0" w:color="auto"/>
          </w:divBdr>
        </w:div>
        <w:div w:id="815295716">
          <w:marLeft w:val="1123"/>
          <w:marRight w:val="0"/>
          <w:marTop w:val="60"/>
          <w:marBottom w:val="0"/>
          <w:divBdr>
            <w:top w:val="none" w:sz="0" w:space="0" w:color="auto"/>
            <w:left w:val="none" w:sz="0" w:space="0" w:color="auto"/>
            <w:bottom w:val="none" w:sz="0" w:space="0" w:color="auto"/>
            <w:right w:val="none" w:sz="0" w:space="0" w:color="auto"/>
          </w:divBdr>
        </w:div>
        <w:div w:id="820734887">
          <w:marLeft w:val="1123"/>
          <w:marRight w:val="0"/>
          <w:marTop w:val="60"/>
          <w:marBottom w:val="0"/>
          <w:divBdr>
            <w:top w:val="none" w:sz="0" w:space="0" w:color="auto"/>
            <w:left w:val="none" w:sz="0" w:space="0" w:color="auto"/>
            <w:bottom w:val="none" w:sz="0" w:space="0" w:color="auto"/>
            <w:right w:val="none" w:sz="0" w:space="0" w:color="auto"/>
          </w:divBdr>
        </w:div>
        <w:div w:id="825361754">
          <w:marLeft w:val="1699"/>
          <w:marRight w:val="0"/>
          <w:marTop w:val="60"/>
          <w:marBottom w:val="0"/>
          <w:divBdr>
            <w:top w:val="none" w:sz="0" w:space="0" w:color="auto"/>
            <w:left w:val="none" w:sz="0" w:space="0" w:color="auto"/>
            <w:bottom w:val="none" w:sz="0" w:space="0" w:color="auto"/>
            <w:right w:val="none" w:sz="0" w:space="0" w:color="auto"/>
          </w:divBdr>
        </w:div>
        <w:div w:id="892933101">
          <w:marLeft w:val="1123"/>
          <w:marRight w:val="0"/>
          <w:marTop w:val="60"/>
          <w:marBottom w:val="0"/>
          <w:divBdr>
            <w:top w:val="none" w:sz="0" w:space="0" w:color="auto"/>
            <w:left w:val="none" w:sz="0" w:space="0" w:color="auto"/>
            <w:bottom w:val="none" w:sz="0" w:space="0" w:color="auto"/>
            <w:right w:val="none" w:sz="0" w:space="0" w:color="auto"/>
          </w:divBdr>
        </w:div>
        <w:div w:id="922376065">
          <w:marLeft w:val="1123"/>
          <w:marRight w:val="0"/>
          <w:marTop w:val="60"/>
          <w:marBottom w:val="0"/>
          <w:divBdr>
            <w:top w:val="none" w:sz="0" w:space="0" w:color="auto"/>
            <w:left w:val="none" w:sz="0" w:space="0" w:color="auto"/>
            <w:bottom w:val="none" w:sz="0" w:space="0" w:color="auto"/>
            <w:right w:val="none" w:sz="0" w:space="0" w:color="auto"/>
          </w:divBdr>
        </w:div>
        <w:div w:id="1099377704">
          <w:marLeft w:val="2261"/>
          <w:marRight w:val="0"/>
          <w:marTop w:val="60"/>
          <w:marBottom w:val="0"/>
          <w:divBdr>
            <w:top w:val="none" w:sz="0" w:space="0" w:color="auto"/>
            <w:left w:val="none" w:sz="0" w:space="0" w:color="auto"/>
            <w:bottom w:val="none" w:sz="0" w:space="0" w:color="auto"/>
            <w:right w:val="none" w:sz="0" w:space="0" w:color="auto"/>
          </w:divBdr>
        </w:div>
        <w:div w:id="1307513910">
          <w:marLeft w:val="547"/>
          <w:marRight w:val="0"/>
          <w:marTop w:val="60"/>
          <w:marBottom w:val="0"/>
          <w:divBdr>
            <w:top w:val="none" w:sz="0" w:space="0" w:color="auto"/>
            <w:left w:val="none" w:sz="0" w:space="0" w:color="auto"/>
            <w:bottom w:val="none" w:sz="0" w:space="0" w:color="auto"/>
            <w:right w:val="none" w:sz="0" w:space="0" w:color="auto"/>
          </w:divBdr>
        </w:div>
        <w:div w:id="1496187757">
          <w:marLeft w:val="547"/>
          <w:marRight w:val="0"/>
          <w:marTop w:val="60"/>
          <w:marBottom w:val="0"/>
          <w:divBdr>
            <w:top w:val="none" w:sz="0" w:space="0" w:color="auto"/>
            <w:left w:val="none" w:sz="0" w:space="0" w:color="auto"/>
            <w:bottom w:val="none" w:sz="0" w:space="0" w:color="auto"/>
            <w:right w:val="none" w:sz="0" w:space="0" w:color="auto"/>
          </w:divBdr>
        </w:div>
        <w:div w:id="1563904185">
          <w:marLeft w:val="1123"/>
          <w:marRight w:val="0"/>
          <w:marTop w:val="60"/>
          <w:marBottom w:val="0"/>
          <w:divBdr>
            <w:top w:val="none" w:sz="0" w:space="0" w:color="auto"/>
            <w:left w:val="none" w:sz="0" w:space="0" w:color="auto"/>
            <w:bottom w:val="none" w:sz="0" w:space="0" w:color="auto"/>
            <w:right w:val="none" w:sz="0" w:space="0" w:color="auto"/>
          </w:divBdr>
        </w:div>
        <w:div w:id="1688365363">
          <w:marLeft w:val="1123"/>
          <w:marRight w:val="0"/>
          <w:marTop w:val="60"/>
          <w:marBottom w:val="0"/>
          <w:divBdr>
            <w:top w:val="none" w:sz="0" w:space="0" w:color="auto"/>
            <w:left w:val="none" w:sz="0" w:space="0" w:color="auto"/>
            <w:bottom w:val="none" w:sz="0" w:space="0" w:color="auto"/>
            <w:right w:val="none" w:sz="0" w:space="0" w:color="auto"/>
          </w:divBdr>
        </w:div>
        <w:div w:id="2009752949">
          <w:marLeft w:val="1123"/>
          <w:marRight w:val="0"/>
          <w:marTop w:val="60"/>
          <w:marBottom w:val="0"/>
          <w:divBdr>
            <w:top w:val="none" w:sz="0" w:space="0" w:color="auto"/>
            <w:left w:val="none" w:sz="0" w:space="0" w:color="auto"/>
            <w:bottom w:val="none" w:sz="0" w:space="0" w:color="auto"/>
            <w:right w:val="none" w:sz="0" w:space="0" w:color="auto"/>
          </w:divBdr>
        </w:div>
        <w:div w:id="2046707569">
          <w:marLeft w:val="1123"/>
          <w:marRight w:val="0"/>
          <w:marTop w:val="60"/>
          <w:marBottom w:val="0"/>
          <w:divBdr>
            <w:top w:val="none" w:sz="0" w:space="0" w:color="auto"/>
            <w:left w:val="none" w:sz="0" w:space="0" w:color="auto"/>
            <w:bottom w:val="none" w:sz="0" w:space="0" w:color="auto"/>
            <w:right w:val="none" w:sz="0" w:space="0" w:color="auto"/>
          </w:divBdr>
        </w:div>
        <w:div w:id="2128429113">
          <w:marLeft w:val="547"/>
          <w:marRight w:val="0"/>
          <w:marTop w:val="60"/>
          <w:marBottom w:val="0"/>
          <w:divBdr>
            <w:top w:val="none" w:sz="0" w:space="0" w:color="auto"/>
            <w:left w:val="none" w:sz="0" w:space="0" w:color="auto"/>
            <w:bottom w:val="none" w:sz="0" w:space="0" w:color="auto"/>
            <w:right w:val="none" w:sz="0" w:space="0" w:color="auto"/>
          </w:divBdr>
        </w:div>
      </w:divsChild>
    </w:div>
    <w:div w:id="302783537">
      <w:bodyDiv w:val="1"/>
      <w:marLeft w:val="0"/>
      <w:marRight w:val="0"/>
      <w:marTop w:val="0"/>
      <w:marBottom w:val="0"/>
      <w:divBdr>
        <w:top w:val="none" w:sz="0" w:space="0" w:color="auto"/>
        <w:left w:val="none" w:sz="0" w:space="0" w:color="auto"/>
        <w:bottom w:val="none" w:sz="0" w:space="0" w:color="auto"/>
        <w:right w:val="none" w:sz="0" w:space="0" w:color="auto"/>
      </w:divBdr>
      <w:divsChild>
        <w:div w:id="303314049">
          <w:marLeft w:val="1699"/>
          <w:marRight w:val="0"/>
          <w:marTop w:val="60"/>
          <w:marBottom w:val="0"/>
          <w:divBdr>
            <w:top w:val="none" w:sz="0" w:space="0" w:color="auto"/>
            <w:left w:val="none" w:sz="0" w:space="0" w:color="auto"/>
            <w:bottom w:val="none" w:sz="0" w:space="0" w:color="auto"/>
            <w:right w:val="none" w:sz="0" w:space="0" w:color="auto"/>
          </w:divBdr>
        </w:div>
        <w:div w:id="446782431">
          <w:marLeft w:val="1123"/>
          <w:marRight w:val="0"/>
          <w:marTop w:val="60"/>
          <w:marBottom w:val="0"/>
          <w:divBdr>
            <w:top w:val="none" w:sz="0" w:space="0" w:color="auto"/>
            <w:left w:val="none" w:sz="0" w:space="0" w:color="auto"/>
            <w:bottom w:val="none" w:sz="0" w:space="0" w:color="auto"/>
            <w:right w:val="none" w:sz="0" w:space="0" w:color="auto"/>
          </w:divBdr>
        </w:div>
        <w:div w:id="457919407">
          <w:marLeft w:val="2794"/>
          <w:marRight w:val="0"/>
          <w:marTop w:val="60"/>
          <w:marBottom w:val="0"/>
          <w:divBdr>
            <w:top w:val="none" w:sz="0" w:space="0" w:color="auto"/>
            <w:left w:val="none" w:sz="0" w:space="0" w:color="auto"/>
            <w:bottom w:val="none" w:sz="0" w:space="0" w:color="auto"/>
            <w:right w:val="none" w:sz="0" w:space="0" w:color="auto"/>
          </w:divBdr>
        </w:div>
        <w:div w:id="554660066">
          <w:marLeft w:val="1123"/>
          <w:marRight w:val="0"/>
          <w:marTop w:val="60"/>
          <w:marBottom w:val="0"/>
          <w:divBdr>
            <w:top w:val="none" w:sz="0" w:space="0" w:color="auto"/>
            <w:left w:val="none" w:sz="0" w:space="0" w:color="auto"/>
            <w:bottom w:val="none" w:sz="0" w:space="0" w:color="auto"/>
            <w:right w:val="none" w:sz="0" w:space="0" w:color="auto"/>
          </w:divBdr>
        </w:div>
        <w:div w:id="643317077">
          <w:marLeft w:val="2794"/>
          <w:marRight w:val="0"/>
          <w:marTop w:val="60"/>
          <w:marBottom w:val="0"/>
          <w:divBdr>
            <w:top w:val="none" w:sz="0" w:space="0" w:color="auto"/>
            <w:left w:val="none" w:sz="0" w:space="0" w:color="auto"/>
            <w:bottom w:val="none" w:sz="0" w:space="0" w:color="auto"/>
            <w:right w:val="none" w:sz="0" w:space="0" w:color="auto"/>
          </w:divBdr>
        </w:div>
        <w:div w:id="902301793">
          <w:marLeft w:val="1699"/>
          <w:marRight w:val="0"/>
          <w:marTop w:val="60"/>
          <w:marBottom w:val="0"/>
          <w:divBdr>
            <w:top w:val="none" w:sz="0" w:space="0" w:color="auto"/>
            <w:left w:val="none" w:sz="0" w:space="0" w:color="auto"/>
            <w:bottom w:val="none" w:sz="0" w:space="0" w:color="auto"/>
            <w:right w:val="none" w:sz="0" w:space="0" w:color="auto"/>
          </w:divBdr>
        </w:div>
        <w:div w:id="1325816778">
          <w:marLeft w:val="2261"/>
          <w:marRight w:val="0"/>
          <w:marTop w:val="60"/>
          <w:marBottom w:val="0"/>
          <w:divBdr>
            <w:top w:val="none" w:sz="0" w:space="0" w:color="auto"/>
            <w:left w:val="none" w:sz="0" w:space="0" w:color="auto"/>
            <w:bottom w:val="none" w:sz="0" w:space="0" w:color="auto"/>
            <w:right w:val="none" w:sz="0" w:space="0" w:color="auto"/>
          </w:divBdr>
        </w:div>
        <w:div w:id="1523588773">
          <w:marLeft w:val="1699"/>
          <w:marRight w:val="0"/>
          <w:marTop w:val="60"/>
          <w:marBottom w:val="0"/>
          <w:divBdr>
            <w:top w:val="none" w:sz="0" w:space="0" w:color="auto"/>
            <w:left w:val="none" w:sz="0" w:space="0" w:color="auto"/>
            <w:bottom w:val="none" w:sz="0" w:space="0" w:color="auto"/>
            <w:right w:val="none" w:sz="0" w:space="0" w:color="auto"/>
          </w:divBdr>
        </w:div>
        <w:div w:id="1546794213">
          <w:marLeft w:val="1123"/>
          <w:marRight w:val="0"/>
          <w:marTop w:val="60"/>
          <w:marBottom w:val="0"/>
          <w:divBdr>
            <w:top w:val="none" w:sz="0" w:space="0" w:color="auto"/>
            <w:left w:val="none" w:sz="0" w:space="0" w:color="auto"/>
            <w:bottom w:val="none" w:sz="0" w:space="0" w:color="auto"/>
            <w:right w:val="none" w:sz="0" w:space="0" w:color="auto"/>
          </w:divBdr>
        </w:div>
        <w:div w:id="1592617511">
          <w:marLeft w:val="1123"/>
          <w:marRight w:val="0"/>
          <w:marTop w:val="60"/>
          <w:marBottom w:val="0"/>
          <w:divBdr>
            <w:top w:val="none" w:sz="0" w:space="0" w:color="auto"/>
            <w:left w:val="none" w:sz="0" w:space="0" w:color="auto"/>
            <w:bottom w:val="none" w:sz="0" w:space="0" w:color="auto"/>
            <w:right w:val="none" w:sz="0" w:space="0" w:color="auto"/>
          </w:divBdr>
        </w:div>
        <w:div w:id="1773864864">
          <w:marLeft w:val="1699"/>
          <w:marRight w:val="0"/>
          <w:marTop w:val="60"/>
          <w:marBottom w:val="0"/>
          <w:divBdr>
            <w:top w:val="none" w:sz="0" w:space="0" w:color="auto"/>
            <w:left w:val="none" w:sz="0" w:space="0" w:color="auto"/>
            <w:bottom w:val="none" w:sz="0" w:space="0" w:color="auto"/>
            <w:right w:val="none" w:sz="0" w:space="0" w:color="auto"/>
          </w:divBdr>
        </w:div>
        <w:div w:id="1774593024">
          <w:marLeft w:val="547"/>
          <w:marRight w:val="0"/>
          <w:marTop w:val="60"/>
          <w:marBottom w:val="0"/>
          <w:divBdr>
            <w:top w:val="none" w:sz="0" w:space="0" w:color="auto"/>
            <w:left w:val="none" w:sz="0" w:space="0" w:color="auto"/>
            <w:bottom w:val="none" w:sz="0" w:space="0" w:color="auto"/>
            <w:right w:val="none" w:sz="0" w:space="0" w:color="auto"/>
          </w:divBdr>
        </w:div>
      </w:divsChild>
    </w:div>
    <w:div w:id="760565868">
      <w:bodyDiv w:val="1"/>
      <w:marLeft w:val="0"/>
      <w:marRight w:val="0"/>
      <w:marTop w:val="0"/>
      <w:marBottom w:val="0"/>
      <w:divBdr>
        <w:top w:val="none" w:sz="0" w:space="0" w:color="auto"/>
        <w:left w:val="none" w:sz="0" w:space="0" w:color="auto"/>
        <w:bottom w:val="none" w:sz="0" w:space="0" w:color="auto"/>
        <w:right w:val="none" w:sz="0" w:space="0" w:color="auto"/>
      </w:divBdr>
    </w:div>
    <w:div w:id="788666514">
      <w:bodyDiv w:val="1"/>
      <w:marLeft w:val="0"/>
      <w:marRight w:val="0"/>
      <w:marTop w:val="0"/>
      <w:marBottom w:val="0"/>
      <w:divBdr>
        <w:top w:val="none" w:sz="0" w:space="0" w:color="auto"/>
        <w:left w:val="none" w:sz="0" w:space="0" w:color="auto"/>
        <w:bottom w:val="none" w:sz="0" w:space="0" w:color="auto"/>
        <w:right w:val="none" w:sz="0" w:space="0" w:color="auto"/>
      </w:divBdr>
      <w:divsChild>
        <w:div w:id="15741957">
          <w:marLeft w:val="547"/>
          <w:marRight w:val="0"/>
          <w:marTop w:val="60"/>
          <w:marBottom w:val="0"/>
          <w:divBdr>
            <w:top w:val="none" w:sz="0" w:space="0" w:color="auto"/>
            <w:left w:val="none" w:sz="0" w:space="0" w:color="auto"/>
            <w:bottom w:val="none" w:sz="0" w:space="0" w:color="auto"/>
            <w:right w:val="none" w:sz="0" w:space="0" w:color="auto"/>
          </w:divBdr>
        </w:div>
        <w:div w:id="184750354">
          <w:marLeft w:val="1123"/>
          <w:marRight w:val="0"/>
          <w:marTop w:val="60"/>
          <w:marBottom w:val="0"/>
          <w:divBdr>
            <w:top w:val="none" w:sz="0" w:space="0" w:color="auto"/>
            <w:left w:val="none" w:sz="0" w:space="0" w:color="auto"/>
            <w:bottom w:val="none" w:sz="0" w:space="0" w:color="auto"/>
            <w:right w:val="none" w:sz="0" w:space="0" w:color="auto"/>
          </w:divBdr>
        </w:div>
        <w:div w:id="387924732">
          <w:marLeft w:val="1123"/>
          <w:marRight w:val="0"/>
          <w:marTop w:val="60"/>
          <w:marBottom w:val="0"/>
          <w:divBdr>
            <w:top w:val="none" w:sz="0" w:space="0" w:color="auto"/>
            <w:left w:val="none" w:sz="0" w:space="0" w:color="auto"/>
            <w:bottom w:val="none" w:sz="0" w:space="0" w:color="auto"/>
            <w:right w:val="none" w:sz="0" w:space="0" w:color="auto"/>
          </w:divBdr>
        </w:div>
        <w:div w:id="742995685">
          <w:marLeft w:val="1123"/>
          <w:marRight w:val="0"/>
          <w:marTop w:val="60"/>
          <w:marBottom w:val="0"/>
          <w:divBdr>
            <w:top w:val="none" w:sz="0" w:space="0" w:color="auto"/>
            <w:left w:val="none" w:sz="0" w:space="0" w:color="auto"/>
            <w:bottom w:val="none" w:sz="0" w:space="0" w:color="auto"/>
            <w:right w:val="none" w:sz="0" w:space="0" w:color="auto"/>
          </w:divBdr>
        </w:div>
        <w:div w:id="749426930">
          <w:marLeft w:val="1123"/>
          <w:marRight w:val="0"/>
          <w:marTop w:val="60"/>
          <w:marBottom w:val="0"/>
          <w:divBdr>
            <w:top w:val="none" w:sz="0" w:space="0" w:color="auto"/>
            <w:left w:val="none" w:sz="0" w:space="0" w:color="auto"/>
            <w:bottom w:val="none" w:sz="0" w:space="0" w:color="auto"/>
            <w:right w:val="none" w:sz="0" w:space="0" w:color="auto"/>
          </w:divBdr>
        </w:div>
        <w:div w:id="774641747">
          <w:marLeft w:val="2261"/>
          <w:marRight w:val="0"/>
          <w:marTop w:val="60"/>
          <w:marBottom w:val="0"/>
          <w:divBdr>
            <w:top w:val="none" w:sz="0" w:space="0" w:color="auto"/>
            <w:left w:val="none" w:sz="0" w:space="0" w:color="auto"/>
            <w:bottom w:val="none" w:sz="0" w:space="0" w:color="auto"/>
            <w:right w:val="none" w:sz="0" w:space="0" w:color="auto"/>
          </w:divBdr>
        </w:div>
        <w:div w:id="927616494">
          <w:marLeft w:val="1123"/>
          <w:marRight w:val="0"/>
          <w:marTop w:val="60"/>
          <w:marBottom w:val="0"/>
          <w:divBdr>
            <w:top w:val="none" w:sz="0" w:space="0" w:color="auto"/>
            <w:left w:val="none" w:sz="0" w:space="0" w:color="auto"/>
            <w:bottom w:val="none" w:sz="0" w:space="0" w:color="auto"/>
            <w:right w:val="none" w:sz="0" w:space="0" w:color="auto"/>
          </w:divBdr>
        </w:div>
        <w:div w:id="1083062600">
          <w:marLeft w:val="1123"/>
          <w:marRight w:val="0"/>
          <w:marTop w:val="60"/>
          <w:marBottom w:val="0"/>
          <w:divBdr>
            <w:top w:val="none" w:sz="0" w:space="0" w:color="auto"/>
            <w:left w:val="none" w:sz="0" w:space="0" w:color="auto"/>
            <w:bottom w:val="none" w:sz="0" w:space="0" w:color="auto"/>
            <w:right w:val="none" w:sz="0" w:space="0" w:color="auto"/>
          </w:divBdr>
        </w:div>
        <w:div w:id="1101343563">
          <w:marLeft w:val="547"/>
          <w:marRight w:val="0"/>
          <w:marTop w:val="60"/>
          <w:marBottom w:val="0"/>
          <w:divBdr>
            <w:top w:val="none" w:sz="0" w:space="0" w:color="auto"/>
            <w:left w:val="none" w:sz="0" w:space="0" w:color="auto"/>
            <w:bottom w:val="none" w:sz="0" w:space="0" w:color="auto"/>
            <w:right w:val="none" w:sz="0" w:space="0" w:color="auto"/>
          </w:divBdr>
        </w:div>
        <w:div w:id="1181552539">
          <w:marLeft w:val="1123"/>
          <w:marRight w:val="0"/>
          <w:marTop w:val="60"/>
          <w:marBottom w:val="0"/>
          <w:divBdr>
            <w:top w:val="none" w:sz="0" w:space="0" w:color="auto"/>
            <w:left w:val="none" w:sz="0" w:space="0" w:color="auto"/>
            <w:bottom w:val="none" w:sz="0" w:space="0" w:color="auto"/>
            <w:right w:val="none" w:sz="0" w:space="0" w:color="auto"/>
          </w:divBdr>
        </w:div>
        <w:div w:id="1262106270">
          <w:marLeft w:val="547"/>
          <w:marRight w:val="0"/>
          <w:marTop w:val="60"/>
          <w:marBottom w:val="0"/>
          <w:divBdr>
            <w:top w:val="none" w:sz="0" w:space="0" w:color="auto"/>
            <w:left w:val="none" w:sz="0" w:space="0" w:color="auto"/>
            <w:bottom w:val="none" w:sz="0" w:space="0" w:color="auto"/>
            <w:right w:val="none" w:sz="0" w:space="0" w:color="auto"/>
          </w:divBdr>
        </w:div>
        <w:div w:id="1307322458">
          <w:marLeft w:val="1699"/>
          <w:marRight w:val="0"/>
          <w:marTop w:val="60"/>
          <w:marBottom w:val="0"/>
          <w:divBdr>
            <w:top w:val="none" w:sz="0" w:space="0" w:color="auto"/>
            <w:left w:val="none" w:sz="0" w:space="0" w:color="auto"/>
            <w:bottom w:val="none" w:sz="0" w:space="0" w:color="auto"/>
            <w:right w:val="none" w:sz="0" w:space="0" w:color="auto"/>
          </w:divBdr>
        </w:div>
        <w:div w:id="1320304419">
          <w:marLeft w:val="1123"/>
          <w:marRight w:val="0"/>
          <w:marTop w:val="60"/>
          <w:marBottom w:val="0"/>
          <w:divBdr>
            <w:top w:val="none" w:sz="0" w:space="0" w:color="auto"/>
            <w:left w:val="none" w:sz="0" w:space="0" w:color="auto"/>
            <w:bottom w:val="none" w:sz="0" w:space="0" w:color="auto"/>
            <w:right w:val="none" w:sz="0" w:space="0" w:color="auto"/>
          </w:divBdr>
        </w:div>
        <w:div w:id="1343623980">
          <w:marLeft w:val="547"/>
          <w:marRight w:val="0"/>
          <w:marTop w:val="60"/>
          <w:marBottom w:val="0"/>
          <w:divBdr>
            <w:top w:val="none" w:sz="0" w:space="0" w:color="auto"/>
            <w:left w:val="none" w:sz="0" w:space="0" w:color="auto"/>
            <w:bottom w:val="none" w:sz="0" w:space="0" w:color="auto"/>
            <w:right w:val="none" w:sz="0" w:space="0" w:color="auto"/>
          </w:divBdr>
        </w:div>
        <w:div w:id="1574044847">
          <w:marLeft w:val="1123"/>
          <w:marRight w:val="0"/>
          <w:marTop w:val="60"/>
          <w:marBottom w:val="0"/>
          <w:divBdr>
            <w:top w:val="none" w:sz="0" w:space="0" w:color="auto"/>
            <w:left w:val="none" w:sz="0" w:space="0" w:color="auto"/>
            <w:bottom w:val="none" w:sz="0" w:space="0" w:color="auto"/>
            <w:right w:val="none" w:sz="0" w:space="0" w:color="auto"/>
          </w:divBdr>
        </w:div>
        <w:div w:id="1989824784">
          <w:marLeft w:val="2261"/>
          <w:marRight w:val="0"/>
          <w:marTop w:val="60"/>
          <w:marBottom w:val="0"/>
          <w:divBdr>
            <w:top w:val="none" w:sz="0" w:space="0" w:color="auto"/>
            <w:left w:val="none" w:sz="0" w:space="0" w:color="auto"/>
            <w:bottom w:val="none" w:sz="0" w:space="0" w:color="auto"/>
            <w:right w:val="none" w:sz="0" w:space="0" w:color="auto"/>
          </w:divBdr>
        </w:div>
        <w:div w:id="2071415461">
          <w:marLeft w:val="1123"/>
          <w:marRight w:val="0"/>
          <w:marTop w:val="60"/>
          <w:marBottom w:val="0"/>
          <w:divBdr>
            <w:top w:val="none" w:sz="0" w:space="0" w:color="auto"/>
            <w:left w:val="none" w:sz="0" w:space="0" w:color="auto"/>
            <w:bottom w:val="none" w:sz="0" w:space="0" w:color="auto"/>
            <w:right w:val="none" w:sz="0" w:space="0" w:color="auto"/>
          </w:divBdr>
        </w:div>
        <w:div w:id="2137408648">
          <w:marLeft w:val="1123"/>
          <w:marRight w:val="0"/>
          <w:marTop w:val="60"/>
          <w:marBottom w:val="0"/>
          <w:divBdr>
            <w:top w:val="none" w:sz="0" w:space="0" w:color="auto"/>
            <w:left w:val="none" w:sz="0" w:space="0" w:color="auto"/>
            <w:bottom w:val="none" w:sz="0" w:space="0" w:color="auto"/>
            <w:right w:val="none" w:sz="0" w:space="0" w:color="auto"/>
          </w:divBdr>
        </w:div>
      </w:divsChild>
    </w:div>
    <w:div w:id="833686740">
      <w:bodyDiv w:val="1"/>
      <w:marLeft w:val="0"/>
      <w:marRight w:val="0"/>
      <w:marTop w:val="0"/>
      <w:marBottom w:val="0"/>
      <w:divBdr>
        <w:top w:val="none" w:sz="0" w:space="0" w:color="auto"/>
        <w:left w:val="none" w:sz="0" w:space="0" w:color="auto"/>
        <w:bottom w:val="none" w:sz="0" w:space="0" w:color="auto"/>
        <w:right w:val="none" w:sz="0" w:space="0" w:color="auto"/>
      </w:divBdr>
    </w:div>
    <w:div w:id="905334068">
      <w:bodyDiv w:val="1"/>
      <w:marLeft w:val="0"/>
      <w:marRight w:val="0"/>
      <w:marTop w:val="0"/>
      <w:marBottom w:val="0"/>
      <w:divBdr>
        <w:top w:val="none" w:sz="0" w:space="0" w:color="auto"/>
        <w:left w:val="none" w:sz="0" w:space="0" w:color="auto"/>
        <w:bottom w:val="none" w:sz="0" w:space="0" w:color="auto"/>
        <w:right w:val="none" w:sz="0" w:space="0" w:color="auto"/>
      </w:divBdr>
    </w:div>
    <w:div w:id="942494707">
      <w:bodyDiv w:val="1"/>
      <w:marLeft w:val="0"/>
      <w:marRight w:val="0"/>
      <w:marTop w:val="0"/>
      <w:marBottom w:val="0"/>
      <w:divBdr>
        <w:top w:val="none" w:sz="0" w:space="0" w:color="auto"/>
        <w:left w:val="none" w:sz="0" w:space="0" w:color="auto"/>
        <w:bottom w:val="none" w:sz="0" w:space="0" w:color="auto"/>
        <w:right w:val="none" w:sz="0" w:space="0" w:color="auto"/>
      </w:divBdr>
      <w:divsChild>
        <w:div w:id="129246811">
          <w:marLeft w:val="1123"/>
          <w:marRight w:val="0"/>
          <w:marTop w:val="60"/>
          <w:marBottom w:val="0"/>
          <w:divBdr>
            <w:top w:val="none" w:sz="0" w:space="0" w:color="auto"/>
            <w:left w:val="none" w:sz="0" w:space="0" w:color="auto"/>
            <w:bottom w:val="none" w:sz="0" w:space="0" w:color="auto"/>
            <w:right w:val="none" w:sz="0" w:space="0" w:color="auto"/>
          </w:divBdr>
        </w:div>
        <w:div w:id="343627605">
          <w:marLeft w:val="1699"/>
          <w:marRight w:val="0"/>
          <w:marTop w:val="60"/>
          <w:marBottom w:val="0"/>
          <w:divBdr>
            <w:top w:val="none" w:sz="0" w:space="0" w:color="auto"/>
            <w:left w:val="none" w:sz="0" w:space="0" w:color="auto"/>
            <w:bottom w:val="none" w:sz="0" w:space="0" w:color="auto"/>
            <w:right w:val="none" w:sz="0" w:space="0" w:color="auto"/>
          </w:divBdr>
        </w:div>
        <w:div w:id="531698591">
          <w:marLeft w:val="547"/>
          <w:marRight w:val="0"/>
          <w:marTop w:val="60"/>
          <w:marBottom w:val="0"/>
          <w:divBdr>
            <w:top w:val="none" w:sz="0" w:space="0" w:color="auto"/>
            <w:left w:val="none" w:sz="0" w:space="0" w:color="auto"/>
            <w:bottom w:val="none" w:sz="0" w:space="0" w:color="auto"/>
            <w:right w:val="none" w:sz="0" w:space="0" w:color="auto"/>
          </w:divBdr>
        </w:div>
        <w:div w:id="648636694">
          <w:marLeft w:val="1699"/>
          <w:marRight w:val="0"/>
          <w:marTop w:val="60"/>
          <w:marBottom w:val="0"/>
          <w:divBdr>
            <w:top w:val="none" w:sz="0" w:space="0" w:color="auto"/>
            <w:left w:val="none" w:sz="0" w:space="0" w:color="auto"/>
            <w:bottom w:val="none" w:sz="0" w:space="0" w:color="auto"/>
            <w:right w:val="none" w:sz="0" w:space="0" w:color="auto"/>
          </w:divBdr>
        </w:div>
        <w:div w:id="693114226">
          <w:marLeft w:val="2794"/>
          <w:marRight w:val="0"/>
          <w:marTop w:val="60"/>
          <w:marBottom w:val="0"/>
          <w:divBdr>
            <w:top w:val="none" w:sz="0" w:space="0" w:color="auto"/>
            <w:left w:val="none" w:sz="0" w:space="0" w:color="auto"/>
            <w:bottom w:val="none" w:sz="0" w:space="0" w:color="auto"/>
            <w:right w:val="none" w:sz="0" w:space="0" w:color="auto"/>
          </w:divBdr>
        </w:div>
        <w:div w:id="945578073">
          <w:marLeft w:val="2261"/>
          <w:marRight w:val="0"/>
          <w:marTop w:val="60"/>
          <w:marBottom w:val="0"/>
          <w:divBdr>
            <w:top w:val="none" w:sz="0" w:space="0" w:color="auto"/>
            <w:left w:val="none" w:sz="0" w:space="0" w:color="auto"/>
            <w:bottom w:val="none" w:sz="0" w:space="0" w:color="auto"/>
            <w:right w:val="none" w:sz="0" w:space="0" w:color="auto"/>
          </w:divBdr>
        </w:div>
        <w:div w:id="970136540">
          <w:marLeft w:val="1699"/>
          <w:marRight w:val="0"/>
          <w:marTop w:val="60"/>
          <w:marBottom w:val="0"/>
          <w:divBdr>
            <w:top w:val="none" w:sz="0" w:space="0" w:color="auto"/>
            <w:left w:val="none" w:sz="0" w:space="0" w:color="auto"/>
            <w:bottom w:val="none" w:sz="0" w:space="0" w:color="auto"/>
            <w:right w:val="none" w:sz="0" w:space="0" w:color="auto"/>
          </w:divBdr>
        </w:div>
        <w:div w:id="1225487146">
          <w:marLeft w:val="1123"/>
          <w:marRight w:val="0"/>
          <w:marTop w:val="60"/>
          <w:marBottom w:val="0"/>
          <w:divBdr>
            <w:top w:val="none" w:sz="0" w:space="0" w:color="auto"/>
            <w:left w:val="none" w:sz="0" w:space="0" w:color="auto"/>
            <w:bottom w:val="none" w:sz="0" w:space="0" w:color="auto"/>
            <w:right w:val="none" w:sz="0" w:space="0" w:color="auto"/>
          </w:divBdr>
        </w:div>
        <w:div w:id="1291746238">
          <w:marLeft w:val="1123"/>
          <w:marRight w:val="0"/>
          <w:marTop w:val="60"/>
          <w:marBottom w:val="0"/>
          <w:divBdr>
            <w:top w:val="none" w:sz="0" w:space="0" w:color="auto"/>
            <w:left w:val="none" w:sz="0" w:space="0" w:color="auto"/>
            <w:bottom w:val="none" w:sz="0" w:space="0" w:color="auto"/>
            <w:right w:val="none" w:sz="0" w:space="0" w:color="auto"/>
          </w:divBdr>
        </w:div>
        <w:div w:id="1341158088">
          <w:marLeft w:val="2794"/>
          <w:marRight w:val="0"/>
          <w:marTop w:val="60"/>
          <w:marBottom w:val="0"/>
          <w:divBdr>
            <w:top w:val="none" w:sz="0" w:space="0" w:color="auto"/>
            <w:left w:val="none" w:sz="0" w:space="0" w:color="auto"/>
            <w:bottom w:val="none" w:sz="0" w:space="0" w:color="auto"/>
            <w:right w:val="none" w:sz="0" w:space="0" w:color="auto"/>
          </w:divBdr>
        </w:div>
        <w:div w:id="1989819355">
          <w:marLeft w:val="1123"/>
          <w:marRight w:val="0"/>
          <w:marTop w:val="60"/>
          <w:marBottom w:val="0"/>
          <w:divBdr>
            <w:top w:val="none" w:sz="0" w:space="0" w:color="auto"/>
            <w:left w:val="none" w:sz="0" w:space="0" w:color="auto"/>
            <w:bottom w:val="none" w:sz="0" w:space="0" w:color="auto"/>
            <w:right w:val="none" w:sz="0" w:space="0" w:color="auto"/>
          </w:divBdr>
        </w:div>
        <w:div w:id="2097283176">
          <w:marLeft w:val="1699"/>
          <w:marRight w:val="0"/>
          <w:marTop w:val="60"/>
          <w:marBottom w:val="0"/>
          <w:divBdr>
            <w:top w:val="none" w:sz="0" w:space="0" w:color="auto"/>
            <w:left w:val="none" w:sz="0" w:space="0" w:color="auto"/>
            <w:bottom w:val="none" w:sz="0" w:space="0" w:color="auto"/>
            <w:right w:val="none" w:sz="0" w:space="0" w:color="auto"/>
          </w:divBdr>
        </w:div>
      </w:divsChild>
    </w:div>
    <w:div w:id="970205827">
      <w:bodyDiv w:val="1"/>
      <w:marLeft w:val="0"/>
      <w:marRight w:val="0"/>
      <w:marTop w:val="0"/>
      <w:marBottom w:val="0"/>
      <w:divBdr>
        <w:top w:val="none" w:sz="0" w:space="0" w:color="auto"/>
        <w:left w:val="none" w:sz="0" w:space="0" w:color="auto"/>
        <w:bottom w:val="none" w:sz="0" w:space="0" w:color="auto"/>
        <w:right w:val="none" w:sz="0" w:space="0" w:color="auto"/>
      </w:divBdr>
    </w:div>
    <w:div w:id="999700471">
      <w:bodyDiv w:val="1"/>
      <w:marLeft w:val="0"/>
      <w:marRight w:val="0"/>
      <w:marTop w:val="0"/>
      <w:marBottom w:val="0"/>
      <w:divBdr>
        <w:top w:val="none" w:sz="0" w:space="0" w:color="auto"/>
        <w:left w:val="none" w:sz="0" w:space="0" w:color="auto"/>
        <w:bottom w:val="none" w:sz="0" w:space="0" w:color="auto"/>
        <w:right w:val="none" w:sz="0" w:space="0" w:color="auto"/>
      </w:divBdr>
      <w:divsChild>
        <w:div w:id="86924422">
          <w:marLeft w:val="1123"/>
          <w:marRight w:val="0"/>
          <w:marTop w:val="60"/>
          <w:marBottom w:val="0"/>
          <w:divBdr>
            <w:top w:val="none" w:sz="0" w:space="0" w:color="auto"/>
            <w:left w:val="none" w:sz="0" w:space="0" w:color="auto"/>
            <w:bottom w:val="none" w:sz="0" w:space="0" w:color="auto"/>
            <w:right w:val="none" w:sz="0" w:space="0" w:color="auto"/>
          </w:divBdr>
        </w:div>
        <w:div w:id="126704597">
          <w:marLeft w:val="1123"/>
          <w:marRight w:val="0"/>
          <w:marTop w:val="60"/>
          <w:marBottom w:val="0"/>
          <w:divBdr>
            <w:top w:val="none" w:sz="0" w:space="0" w:color="auto"/>
            <w:left w:val="none" w:sz="0" w:space="0" w:color="auto"/>
            <w:bottom w:val="none" w:sz="0" w:space="0" w:color="auto"/>
            <w:right w:val="none" w:sz="0" w:space="0" w:color="auto"/>
          </w:divBdr>
        </w:div>
        <w:div w:id="357047371">
          <w:marLeft w:val="547"/>
          <w:marRight w:val="0"/>
          <w:marTop w:val="60"/>
          <w:marBottom w:val="0"/>
          <w:divBdr>
            <w:top w:val="none" w:sz="0" w:space="0" w:color="auto"/>
            <w:left w:val="none" w:sz="0" w:space="0" w:color="auto"/>
            <w:bottom w:val="none" w:sz="0" w:space="0" w:color="auto"/>
            <w:right w:val="none" w:sz="0" w:space="0" w:color="auto"/>
          </w:divBdr>
        </w:div>
        <w:div w:id="405885866">
          <w:marLeft w:val="1123"/>
          <w:marRight w:val="0"/>
          <w:marTop w:val="60"/>
          <w:marBottom w:val="0"/>
          <w:divBdr>
            <w:top w:val="none" w:sz="0" w:space="0" w:color="auto"/>
            <w:left w:val="none" w:sz="0" w:space="0" w:color="auto"/>
            <w:bottom w:val="none" w:sz="0" w:space="0" w:color="auto"/>
            <w:right w:val="none" w:sz="0" w:space="0" w:color="auto"/>
          </w:divBdr>
        </w:div>
        <w:div w:id="434138210">
          <w:marLeft w:val="2261"/>
          <w:marRight w:val="0"/>
          <w:marTop w:val="60"/>
          <w:marBottom w:val="0"/>
          <w:divBdr>
            <w:top w:val="none" w:sz="0" w:space="0" w:color="auto"/>
            <w:left w:val="none" w:sz="0" w:space="0" w:color="auto"/>
            <w:bottom w:val="none" w:sz="0" w:space="0" w:color="auto"/>
            <w:right w:val="none" w:sz="0" w:space="0" w:color="auto"/>
          </w:divBdr>
        </w:div>
        <w:div w:id="448740051">
          <w:marLeft w:val="1123"/>
          <w:marRight w:val="0"/>
          <w:marTop w:val="60"/>
          <w:marBottom w:val="0"/>
          <w:divBdr>
            <w:top w:val="none" w:sz="0" w:space="0" w:color="auto"/>
            <w:left w:val="none" w:sz="0" w:space="0" w:color="auto"/>
            <w:bottom w:val="none" w:sz="0" w:space="0" w:color="auto"/>
            <w:right w:val="none" w:sz="0" w:space="0" w:color="auto"/>
          </w:divBdr>
        </w:div>
        <w:div w:id="451287016">
          <w:marLeft w:val="1123"/>
          <w:marRight w:val="0"/>
          <w:marTop w:val="60"/>
          <w:marBottom w:val="0"/>
          <w:divBdr>
            <w:top w:val="none" w:sz="0" w:space="0" w:color="auto"/>
            <w:left w:val="none" w:sz="0" w:space="0" w:color="auto"/>
            <w:bottom w:val="none" w:sz="0" w:space="0" w:color="auto"/>
            <w:right w:val="none" w:sz="0" w:space="0" w:color="auto"/>
          </w:divBdr>
        </w:div>
        <w:div w:id="483473212">
          <w:marLeft w:val="547"/>
          <w:marRight w:val="0"/>
          <w:marTop w:val="60"/>
          <w:marBottom w:val="0"/>
          <w:divBdr>
            <w:top w:val="none" w:sz="0" w:space="0" w:color="auto"/>
            <w:left w:val="none" w:sz="0" w:space="0" w:color="auto"/>
            <w:bottom w:val="none" w:sz="0" w:space="0" w:color="auto"/>
            <w:right w:val="none" w:sz="0" w:space="0" w:color="auto"/>
          </w:divBdr>
        </w:div>
        <w:div w:id="698820700">
          <w:marLeft w:val="2261"/>
          <w:marRight w:val="0"/>
          <w:marTop w:val="60"/>
          <w:marBottom w:val="0"/>
          <w:divBdr>
            <w:top w:val="none" w:sz="0" w:space="0" w:color="auto"/>
            <w:left w:val="none" w:sz="0" w:space="0" w:color="auto"/>
            <w:bottom w:val="none" w:sz="0" w:space="0" w:color="auto"/>
            <w:right w:val="none" w:sz="0" w:space="0" w:color="auto"/>
          </w:divBdr>
        </w:div>
        <w:div w:id="732317171">
          <w:marLeft w:val="547"/>
          <w:marRight w:val="0"/>
          <w:marTop w:val="60"/>
          <w:marBottom w:val="0"/>
          <w:divBdr>
            <w:top w:val="none" w:sz="0" w:space="0" w:color="auto"/>
            <w:left w:val="none" w:sz="0" w:space="0" w:color="auto"/>
            <w:bottom w:val="none" w:sz="0" w:space="0" w:color="auto"/>
            <w:right w:val="none" w:sz="0" w:space="0" w:color="auto"/>
          </w:divBdr>
        </w:div>
        <w:div w:id="862011646">
          <w:marLeft w:val="1123"/>
          <w:marRight w:val="0"/>
          <w:marTop w:val="60"/>
          <w:marBottom w:val="0"/>
          <w:divBdr>
            <w:top w:val="none" w:sz="0" w:space="0" w:color="auto"/>
            <w:left w:val="none" w:sz="0" w:space="0" w:color="auto"/>
            <w:bottom w:val="none" w:sz="0" w:space="0" w:color="auto"/>
            <w:right w:val="none" w:sz="0" w:space="0" w:color="auto"/>
          </w:divBdr>
        </w:div>
        <w:div w:id="1118253880">
          <w:marLeft w:val="1123"/>
          <w:marRight w:val="0"/>
          <w:marTop w:val="60"/>
          <w:marBottom w:val="0"/>
          <w:divBdr>
            <w:top w:val="none" w:sz="0" w:space="0" w:color="auto"/>
            <w:left w:val="none" w:sz="0" w:space="0" w:color="auto"/>
            <w:bottom w:val="none" w:sz="0" w:space="0" w:color="auto"/>
            <w:right w:val="none" w:sz="0" w:space="0" w:color="auto"/>
          </w:divBdr>
        </w:div>
        <w:div w:id="1474641354">
          <w:marLeft w:val="1123"/>
          <w:marRight w:val="0"/>
          <w:marTop w:val="60"/>
          <w:marBottom w:val="0"/>
          <w:divBdr>
            <w:top w:val="none" w:sz="0" w:space="0" w:color="auto"/>
            <w:left w:val="none" w:sz="0" w:space="0" w:color="auto"/>
            <w:bottom w:val="none" w:sz="0" w:space="0" w:color="auto"/>
            <w:right w:val="none" w:sz="0" w:space="0" w:color="auto"/>
          </w:divBdr>
        </w:div>
        <w:div w:id="1494488884">
          <w:marLeft w:val="1123"/>
          <w:marRight w:val="0"/>
          <w:marTop w:val="60"/>
          <w:marBottom w:val="0"/>
          <w:divBdr>
            <w:top w:val="none" w:sz="0" w:space="0" w:color="auto"/>
            <w:left w:val="none" w:sz="0" w:space="0" w:color="auto"/>
            <w:bottom w:val="none" w:sz="0" w:space="0" w:color="auto"/>
            <w:right w:val="none" w:sz="0" w:space="0" w:color="auto"/>
          </w:divBdr>
        </w:div>
        <w:div w:id="1703436380">
          <w:marLeft w:val="547"/>
          <w:marRight w:val="0"/>
          <w:marTop w:val="60"/>
          <w:marBottom w:val="0"/>
          <w:divBdr>
            <w:top w:val="none" w:sz="0" w:space="0" w:color="auto"/>
            <w:left w:val="none" w:sz="0" w:space="0" w:color="auto"/>
            <w:bottom w:val="none" w:sz="0" w:space="0" w:color="auto"/>
            <w:right w:val="none" w:sz="0" w:space="0" w:color="auto"/>
          </w:divBdr>
        </w:div>
        <w:div w:id="1713965771">
          <w:marLeft w:val="1699"/>
          <w:marRight w:val="0"/>
          <w:marTop w:val="60"/>
          <w:marBottom w:val="0"/>
          <w:divBdr>
            <w:top w:val="none" w:sz="0" w:space="0" w:color="auto"/>
            <w:left w:val="none" w:sz="0" w:space="0" w:color="auto"/>
            <w:bottom w:val="none" w:sz="0" w:space="0" w:color="auto"/>
            <w:right w:val="none" w:sz="0" w:space="0" w:color="auto"/>
          </w:divBdr>
        </w:div>
        <w:div w:id="1775785073">
          <w:marLeft w:val="1123"/>
          <w:marRight w:val="0"/>
          <w:marTop w:val="60"/>
          <w:marBottom w:val="0"/>
          <w:divBdr>
            <w:top w:val="none" w:sz="0" w:space="0" w:color="auto"/>
            <w:left w:val="none" w:sz="0" w:space="0" w:color="auto"/>
            <w:bottom w:val="none" w:sz="0" w:space="0" w:color="auto"/>
            <w:right w:val="none" w:sz="0" w:space="0" w:color="auto"/>
          </w:divBdr>
        </w:div>
        <w:div w:id="2045640761">
          <w:marLeft w:val="1123"/>
          <w:marRight w:val="0"/>
          <w:marTop w:val="60"/>
          <w:marBottom w:val="0"/>
          <w:divBdr>
            <w:top w:val="none" w:sz="0" w:space="0" w:color="auto"/>
            <w:left w:val="none" w:sz="0" w:space="0" w:color="auto"/>
            <w:bottom w:val="none" w:sz="0" w:space="0" w:color="auto"/>
            <w:right w:val="none" w:sz="0" w:space="0" w:color="auto"/>
          </w:divBdr>
        </w:div>
      </w:divsChild>
    </w:div>
    <w:div w:id="1111631551">
      <w:bodyDiv w:val="1"/>
      <w:marLeft w:val="0"/>
      <w:marRight w:val="0"/>
      <w:marTop w:val="0"/>
      <w:marBottom w:val="0"/>
      <w:divBdr>
        <w:top w:val="none" w:sz="0" w:space="0" w:color="auto"/>
        <w:left w:val="none" w:sz="0" w:space="0" w:color="auto"/>
        <w:bottom w:val="none" w:sz="0" w:space="0" w:color="auto"/>
        <w:right w:val="none" w:sz="0" w:space="0" w:color="auto"/>
      </w:divBdr>
      <w:divsChild>
        <w:div w:id="212235190">
          <w:marLeft w:val="1800"/>
          <w:marRight w:val="0"/>
          <w:marTop w:val="0"/>
          <w:marBottom w:val="0"/>
          <w:divBdr>
            <w:top w:val="none" w:sz="0" w:space="0" w:color="auto"/>
            <w:left w:val="none" w:sz="0" w:space="0" w:color="auto"/>
            <w:bottom w:val="none" w:sz="0" w:space="0" w:color="auto"/>
            <w:right w:val="none" w:sz="0" w:space="0" w:color="auto"/>
          </w:divBdr>
        </w:div>
        <w:div w:id="373701543">
          <w:marLeft w:val="1166"/>
          <w:marRight w:val="0"/>
          <w:marTop w:val="0"/>
          <w:marBottom w:val="0"/>
          <w:divBdr>
            <w:top w:val="none" w:sz="0" w:space="0" w:color="auto"/>
            <w:left w:val="none" w:sz="0" w:space="0" w:color="auto"/>
            <w:bottom w:val="none" w:sz="0" w:space="0" w:color="auto"/>
            <w:right w:val="none" w:sz="0" w:space="0" w:color="auto"/>
          </w:divBdr>
        </w:div>
        <w:div w:id="813134872">
          <w:marLeft w:val="1166"/>
          <w:marRight w:val="0"/>
          <w:marTop w:val="0"/>
          <w:marBottom w:val="0"/>
          <w:divBdr>
            <w:top w:val="none" w:sz="0" w:space="0" w:color="auto"/>
            <w:left w:val="none" w:sz="0" w:space="0" w:color="auto"/>
            <w:bottom w:val="none" w:sz="0" w:space="0" w:color="auto"/>
            <w:right w:val="none" w:sz="0" w:space="0" w:color="auto"/>
          </w:divBdr>
        </w:div>
        <w:div w:id="994989273">
          <w:marLeft w:val="1166"/>
          <w:marRight w:val="0"/>
          <w:marTop w:val="0"/>
          <w:marBottom w:val="0"/>
          <w:divBdr>
            <w:top w:val="none" w:sz="0" w:space="0" w:color="auto"/>
            <w:left w:val="none" w:sz="0" w:space="0" w:color="auto"/>
            <w:bottom w:val="none" w:sz="0" w:space="0" w:color="auto"/>
            <w:right w:val="none" w:sz="0" w:space="0" w:color="auto"/>
          </w:divBdr>
        </w:div>
        <w:div w:id="1106271332">
          <w:marLeft w:val="547"/>
          <w:marRight w:val="0"/>
          <w:marTop w:val="0"/>
          <w:marBottom w:val="0"/>
          <w:divBdr>
            <w:top w:val="none" w:sz="0" w:space="0" w:color="auto"/>
            <w:left w:val="none" w:sz="0" w:space="0" w:color="auto"/>
            <w:bottom w:val="none" w:sz="0" w:space="0" w:color="auto"/>
            <w:right w:val="none" w:sz="0" w:space="0" w:color="auto"/>
          </w:divBdr>
        </w:div>
        <w:div w:id="1348488220">
          <w:marLeft w:val="1166"/>
          <w:marRight w:val="0"/>
          <w:marTop w:val="0"/>
          <w:marBottom w:val="0"/>
          <w:divBdr>
            <w:top w:val="none" w:sz="0" w:space="0" w:color="auto"/>
            <w:left w:val="none" w:sz="0" w:space="0" w:color="auto"/>
            <w:bottom w:val="none" w:sz="0" w:space="0" w:color="auto"/>
            <w:right w:val="none" w:sz="0" w:space="0" w:color="auto"/>
          </w:divBdr>
        </w:div>
        <w:div w:id="1441954510">
          <w:marLeft w:val="1166"/>
          <w:marRight w:val="0"/>
          <w:marTop w:val="0"/>
          <w:marBottom w:val="0"/>
          <w:divBdr>
            <w:top w:val="none" w:sz="0" w:space="0" w:color="auto"/>
            <w:left w:val="none" w:sz="0" w:space="0" w:color="auto"/>
            <w:bottom w:val="none" w:sz="0" w:space="0" w:color="auto"/>
            <w:right w:val="none" w:sz="0" w:space="0" w:color="auto"/>
          </w:divBdr>
        </w:div>
        <w:div w:id="1763599782">
          <w:marLeft w:val="547"/>
          <w:marRight w:val="0"/>
          <w:marTop w:val="0"/>
          <w:marBottom w:val="0"/>
          <w:divBdr>
            <w:top w:val="none" w:sz="0" w:space="0" w:color="auto"/>
            <w:left w:val="none" w:sz="0" w:space="0" w:color="auto"/>
            <w:bottom w:val="none" w:sz="0" w:space="0" w:color="auto"/>
            <w:right w:val="none" w:sz="0" w:space="0" w:color="auto"/>
          </w:divBdr>
        </w:div>
        <w:div w:id="2004162684">
          <w:marLeft w:val="1166"/>
          <w:marRight w:val="0"/>
          <w:marTop w:val="0"/>
          <w:marBottom w:val="0"/>
          <w:divBdr>
            <w:top w:val="none" w:sz="0" w:space="0" w:color="auto"/>
            <w:left w:val="none" w:sz="0" w:space="0" w:color="auto"/>
            <w:bottom w:val="none" w:sz="0" w:space="0" w:color="auto"/>
            <w:right w:val="none" w:sz="0" w:space="0" w:color="auto"/>
          </w:divBdr>
        </w:div>
      </w:divsChild>
    </w:div>
    <w:div w:id="1218587575">
      <w:bodyDiv w:val="1"/>
      <w:marLeft w:val="0"/>
      <w:marRight w:val="0"/>
      <w:marTop w:val="0"/>
      <w:marBottom w:val="0"/>
      <w:divBdr>
        <w:top w:val="none" w:sz="0" w:space="0" w:color="auto"/>
        <w:left w:val="none" w:sz="0" w:space="0" w:color="auto"/>
        <w:bottom w:val="none" w:sz="0" w:space="0" w:color="auto"/>
        <w:right w:val="none" w:sz="0" w:space="0" w:color="auto"/>
      </w:divBdr>
    </w:div>
    <w:div w:id="1628270286">
      <w:bodyDiv w:val="1"/>
      <w:marLeft w:val="0"/>
      <w:marRight w:val="0"/>
      <w:marTop w:val="0"/>
      <w:marBottom w:val="0"/>
      <w:divBdr>
        <w:top w:val="none" w:sz="0" w:space="0" w:color="auto"/>
        <w:left w:val="none" w:sz="0" w:space="0" w:color="auto"/>
        <w:bottom w:val="none" w:sz="0" w:space="0" w:color="auto"/>
        <w:right w:val="none" w:sz="0" w:space="0" w:color="auto"/>
      </w:divBdr>
      <w:divsChild>
        <w:div w:id="60711397">
          <w:marLeft w:val="1166"/>
          <w:marRight w:val="0"/>
          <w:marTop w:val="0"/>
          <w:marBottom w:val="0"/>
          <w:divBdr>
            <w:top w:val="none" w:sz="0" w:space="0" w:color="auto"/>
            <w:left w:val="none" w:sz="0" w:space="0" w:color="auto"/>
            <w:bottom w:val="none" w:sz="0" w:space="0" w:color="auto"/>
            <w:right w:val="none" w:sz="0" w:space="0" w:color="auto"/>
          </w:divBdr>
        </w:div>
        <w:div w:id="186607475">
          <w:marLeft w:val="1166"/>
          <w:marRight w:val="0"/>
          <w:marTop w:val="0"/>
          <w:marBottom w:val="0"/>
          <w:divBdr>
            <w:top w:val="none" w:sz="0" w:space="0" w:color="auto"/>
            <w:left w:val="none" w:sz="0" w:space="0" w:color="auto"/>
            <w:bottom w:val="none" w:sz="0" w:space="0" w:color="auto"/>
            <w:right w:val="none" w:sz="0" w:space="0" w:color="auto"/>
          </w:divBdr>
        </w:div>
        <w:div w:id="477501683">
          <w:marLeft w:val="1166"/>
          <w:marRight w:val="0"/>
          <w:marTop w:val="0"/>
          <w:marBottom w:val="0"/>
          <w:divBdr>
            <w:top w:val="none" w:sz="0" w:space="0" w:color="auto"/>
            <w:left w:val="none" w:sz="0" w:space="0" w:color="auto"/>
            <w:bottom w:val="none" w:sz="0" w:space="0" w:color="auto"/>
            <w:right w:val="none" w:sz="0" w:space="0" w:color="auto"/>
          </w:divBdr>
        </w:div>
        <w:div w:id="493225121">
          <w:marLeft w:val="1166"/>
          <w:marRight w:val="0"/>
          <w:marTop w:val="0"/>
          <w:marBottom w:val="0"/>
          <w:divBdr>
            <w:top w:val="none" w:sz="0" w:space="0" w:color="auto"/>
            <w:left w:val="none" w:sz="0" w:space="0" w:color="auto"/>
            <w:bottom w:val="none" w:sz="0" w:space="0" w:color="auto"/>
            <w:right w:val="none" w:sz="0" w:space="0" w:color="auto"/>
          </w:divBdr>
        </w:div>
        <w:div w:id="591201899">
          <w:marLeft w:val="1166"/>
          <w:marRight w:val="0"/>
          <w:marTop w:val="0"/>
          <w:marBottom w:val="0"/>
          <w:divBdr>
            <w:top w:val="none" w:sz="0" w:space="0" w:color="auto"/>
            <w:left w:val="none" w:sz="0" w:space="0" w:color="auto"/>
            <w:bottom w:val="none" w:sz="0" w:space="0" w:color="auto"/>
            <w:right w:val="none" w:sz="0" w:space="0" w:color="auto"/>
          </w:divBdr>
        </w:div>
        <w:div w:id="655181209">
          <w:marLeft w:val="547"/>
          <w:marRight w:val="0"/>
          <w:marTop w:val="0"/>
          <w:marBottom w:val="0"/>
          <w:divBdr>
            <w:top w:val="none" w:sz="0" w:space="0" w:color="auto"/>
            <w:left w:val="none" w:sz="0" w:space="0" w:color="auto"/>
            <w:bottom w:val="none" w:sz="0" w:space="0" w:color="auto"/>
            <w:right w:val="none" w:sz="0" w:space="0" w:color="auto"/>
          </w:divBdr>
        </w:div>
        <w:div w:id="672337548">
          <w:marLeft w:val="1166"/>
          <w:marRight w:val="0"/>
          <w:marTop w:val="0"/>
          <w:marBottom w:val="0"/>
          <w:divBdr>
            <w:top w:val="none" w:sz="0" w:space="0" w:color="auto"/>
            <w:left w:val="none" w:sz="0" w:space="0" w:color="auto"/>
            <w:bottom w:val="none" w:sz="0" w:space="0" w:color="auto"/>
            <w:right w:val="none" w:sz="0" w:space="0" w:color="auto"/>
          </w:divBdr>
        </w:div>
        <w:div w:id="706682089">
          <w:marLeft w:val="1166"/>
          <w:marRight w:val="0"/>
          <w:marTop w:val="0"/>
          <w:marBottom w:val="0"/>
          <w:divBdr>
            <w:top w:val="none" w:sz="0" w:space="0" w:color="auto"/>
            <w:left w:val="none" w:sz="0" w:space="0" w:color="auto"/>
            <w:bottom w:val="none" w:sz="0" w:space="0" w:color="auto"/>
            <w:right w:val="none" w:sz="0" w:space="0" w:color="auto"/>
          </w:divBdr>
        </w:div>
        <w:div w:id="807430438">
          <w:marLeft w:val="1166"/>
          <w:marRight w:val="0"/>
          <w:marTop w:val="0"/>
          <w:marBottom w:val="0"/>
          <w:divBdr>
            <w:top w:val="none" w:sz="0" w:space="0" w:color="auto"/>
            <w:left w:val="none" w:sz="0" w:space="0" w:color="auto"/>
            <w:bottom w:val="none" w:sz="0" w:space="0" w:color="auto"/>
            <w:right w:val="none" w:sz="0" w:space="0" w:color="auto"/>
          </w:divBdr>
        </w:div>
        <w:div w:id="833181001">
          <w:marLeft w:val="547"/>
          <w:marRight w:val="0"/>
          <w:marTop w:val="0"/>
          <w:marBottom w:val="0"/>
          <w:divBdr>
            <w:top w:val="none" w:sz="0" w:space="0" w:color="auto"/>
            <w:left w:val="none" w:sz="0" w:space="0" w:color="auto"/>
            <w:bottom w:val="none" w:sz="0" w:space="0" w:color="auto"/>
            <w:right w:val="none" w:sz="0" w:space="0" w:color="auto"/>
          </w:divBdr>
        </w:div>
        <w:div w:id="996691438">
          <w:marLeft w:val="1166"/>
          <w:marRight w:val="0"/>
          <w:marTop w:val="0"/>
          <w:marBottom w:val="0"/>
          <w:divBdr>
            <w:top w:val="none" w:sz="0" w:space="0" w:color="auto"/>
            <w:left w:val="none" w:sz="0" w:space="0" w:color="auto"/>
            <w:bottom w:val="none" w:sz="0" w:space="0" w:color="auto"/>
            <w:right w:val="none" w:sz="0" w:space="0" w:color="auto"/>
          </w:divBdr>
        </w:div>
        <w:div w:id="1243491125">
          <w:marLeft w:val="1166"/>
          <w:marRight w:val="0"/>
          <w:marTop w:val="0"/>
          <w:marBottom w:val="0"/>
          <w:divBdr>
            <w:top w:val="none" w:sz="0" w:space="0" w:color="auto"/>
            <w:left w:val="none" w:sz="0" w:space="0" w:color="auto"/>
            <w:bottom w:val="none" w:sz="0" w:space="0" w:color="auto"/>
            <w:right w:val="none" w:sz="0" w:space="0" w:color="auto"/>
          </w:divBdr>
        </w:div>
        <w:div w:id="1284190085">
          <w:marLeft w:val="1166"/>
          <w:marRight w:val="0"/>
          <w:marTop w:val="0"/>
          <w:marBottom w:val="0"/>
          <w:divBdr>
            <w:top w:val="none" w:sz="0" w:space="0" w:color="auto"/>
            <w:left w:val="none" w:sz="0" w:space="0" w:color="auto"/>
            <w:bottom w:val="none" w:sz="0" w:space="0" w:color="auto"/>
            <w:right w:val="none" w:sz="0" w:space="0" w:color="auto"/>
          </w:divBdr>
        </w:div>
        <w:div w:id="1301961702">
          <w:marLeft w:val="1166"/>
          <w:marRight w:val="0"/>
          <w:marTop w:val="0"/>
          <w:marBottom w:val="0"/>
          <w:divBdr>
            <w:top w:val="none" w:sz="0" w:space="0" w:color="auto"/>
            <w:left w:val="none" w:sz="0" w:space="0" w:color="auto"/>
            <w:bottom w:val="none" w:sz="0" w:space="0" w:color="auto"/>
            <w:right w:val="none" w:sz="0" w:space="0" w:color="auto"/>
          </w:divBdr>
        </w:div>
        <w:div w:id="1347944460">
          <w:marLeft w:val="1800"/>
          <w:marRight w:val="0"/>
          <w:marTop w:val="0"/>
          <w:marBottom w:val="0"/>
          <w:divBdr>
            <w:top w:val="none" w:sz="0" w:space="0" w:color="auto"/>
            <w:left w:val="none" w:sz="0" w:space="0" w:color="auto"/>
            <w:bottom w:val="none" w:sz="0" w:space="0" w:color="auto"/>
            <w:right w:val="none" w:sz="0" w:space="0" w:color="auto"/>
          </w:divBdr>
        </w:div>
        <w:div w:id="1581285206">
          <w:marLeft w:val="547"/>
          <w:marRight w:val="0"/>
          <w:marTop w:val="0"/>
          <w:marBottom w:val="0"/>
          <w:divBdr>
            <w:top w:val="none" w:sz="0" w:space="0" w:color="auto"/>
            <w:left w:val="none" w:sz="0" w:space="0" w:color="auto"/>
            <w:bottom w:val="none" w:sz="0" w:space="0" w:color="auto"/>
            <w:right w:val="none" w:sz="0" w:space="0" w:color="auto"/>
          </w:divBdr>
        </w:div>
        <w:div w:id="1582760607">
          <w:marLeft w:val="1166"/>
          <w:marRight w:val="0"/>
          <w:marTop w:val="0"/>
          <w:marBottom w:val="0"/>
          <w:divBdr>
            <w:top w:val="none" w:sz="0" w:space="0" w:color="auto"/>
            <w:left w:val="none" w:sz="0" w:space="0" w:color="auto"/>
            <w:bottom w:val="none" w:sz="0" w:space="0" w:color="auto"/>
            <w:right w:val="none" w:sz="0" w:space="0" w:color="auto"/>
          </w:divBdr>
        </w:div>
        <w:div w:id="1608585888">
          <w:marLeft w:val="1166"/>
          <w:marRight w:val="0"/>
          <w:marTop w:val="0"/>
          <w:marBottom w:val="0"/>
          <w:divBdr>
            <w:top w:val="none" w:sz="0" w:space="0" w:color="auto"/>
            <w:left w:val="none" w:sz="0" w:space="0" w:color="auto"/>
            <w:bottom w:val="none" w:sz="0" w:space="0" w:color="auto"/>
            <w:right w:val="none" w:sz="0" w:space="0" w:color="auto"/>
          </w:divBdr>
        </w:div>
        <w:div w:id="1634404840">
          <w:marLeft w:val="547"/>
          <w:marRight w:val="0"/>
          <w:marTop w:val="0"/>
          <w:marBottom w:val="0"/>
          <w:divBdr>
            <w:top w:val="none" w:sz="0" w:space="0" w:color="auto"/>
            <w:left w:val="none" w:sz="0" w:space="0" w:color="auto"/>
            <w:bottom w:val="none" w:sz="0" w:space="0" w:color="auto"/>
            <w:right w:val="none" w:sz="0" w:space="0" w:color="auto"/>
          </w:divBdr>
        </w:div>
        <w:div w:id="1788767695">
          <w:marLeft w:val="1166"/>
          <w:marRight w:val="0"/>
          <w:marTop w:val="0"/>
          <w:marBottom w:val="0"/>
          <w:divBdr>
            <w:top w:val="none" w:sz="0" w:space="0" w:color="auto"/>
            <w:left w:val="none" w:sz="0" w:space="0" w:color="auto"/>
            <w:bottom w:val="none" w:sz="0" w:space="0" w:color="auto"/>
            <w:right w:val="none" w:sz="0" w:space="0" w:color="auto"/>
          </w:divBdr>
        </w:div>
        <w:div w:id="2060935978">
          <w:marLeft w:val="1166"/>
          <w:marRight w:val="0"/>
          <w:marTop w:val="0"/>
          <w:marBottom w:val="0"/>
          <w:divBdr>
            <w:top w:val="none" w:sz="0" w:space="0" w:color="auto"/>
            <w:left w:val="none" w:sz="0" w:space="0" w:color="auto"/>
            <w:bottom w:val="none" w:sz="0" w:space="0" w:color="auto"/>
            <w:right w:val="none" w:sz="0" w:space="0" w:color="auto"/>
          </w:divBdr>
        </w:div>
      </w:divsChild>
    </w:div>
    <w:div w:id="1767261186">
      <w:bodyDiv w:val="1"/>
      <w:marLeft w:val="0"/>
      <w:marRight w:val="0"/>
      <w:marTop w:val="0"/>
      <w:marBottom w:val="0"/>
      <w:divBdr>
        <w:top w:val="none" w:sz="0" w:space="0" w:color="auto"/>
        <w:left w:val="none" w:sz="0" w:space="0" w:color="auto"/>
        <w:bottom w:val="none" w:sz="0" w:space="0" w:color="auto"/>
        <w:right w:val="none" w:sz="0" w:space="0" w:color="auto"/>
      </w:divBdr>
      <w:divsChild>
        <w:div w:id="221258566">
          <w:marLeft w:val="547"/>
          <w:marRight w:val="0"/>
          <w:marTop w:val="60"/>
          <w:marBottom w:val="0"/>
          <w:divBdr>
            <w:top w:val="none" w:sz="0" w:space="0" w:color="auto"/>
            <w:left w:val="none" w:sz="0" w:space="0" w:color="auto"/>
            <w:bottom w:val="none" w:sz="0" w:space="0" w:color="auto"/>
            <w:right w:val="none" w:sz="0" w:space="0" w:color="auto"/>
          </w:divBdr>
        </w:div>
        <w:div w:id="320348945">
          <w:marLeft w:val="1123"/>
          <w:marRight w:val="0"/>
          <w:marTop w:val="60"/>
          <w:marBottom w:val="0"/>
          <w:divBdr>
            <w:top w:val="none" w:sz="0" w:space="0" w:color="auto"/>
            <w:left w:val="none" w:sz="0" w:space="0" w:color="auto"/>
            <w:bottom w:val="none" w:sz="0" w:space="0" w:color="auto"/>
            <w:right w:val="none" w:sz="0" w:space="0" w:color="auto"/>
          </w:divBdr>
        </w:div>
        <w:div w:id="346905849">
          <w:marLeft w:val="547"/>
          <w:marRight w:val="0"/>
          <w:marTop w:val="60"/>
          <w:marBottom w:val="0"/>
          <w:divBdr>
            <w:top w:val="none" w:sz="0" w:space="0" w:color="auto"/>
            <w:left w:val="none" w:sz="0" w:space="0" w:color="auto"/>
            <w:bottom w:val="none" w:sz="0" w:space="0" w:color="auto"/>
            <w:right w:val="none" w:sz="0" w:space="0" w:color="auto"/>
          </w:divBdr>
        </w:div>
        <w:div w:id="572784960">
          <w:marLeft w:val="1123"/>
          <w:marRight w:val="0"/>
          <w:marTop w:val="60"/>
          <w:marBottom w:val="0"/>
          <w:divBdr>
            <w:top w:val="none" w:sz="0" w:space="0" w:color="auto"/>
            <w:left w:val="none" w:sz="0" w:space="0" w:color="auto"/>
            <w:bottom w:val="none" w:sz="0" w:space="0" w:color="auto"/>
            <w:right w:val="none" w:sz="0" w:space="0" w:color="auto"/>
          </w:divBdr>
        </w:div>
        <w:div w:id="592781881">
          <w:marLeft w:val="1123"/>
          <w:marRight w:val="0"/>
          <w:marTop w:val="60"/>
          <w:marBottom w:val="0"/>
          <w:divBdr>
            <w:top w:val="none" w:sz="0" w:space="0" w:color="auto"/>
            <w:left w:val="none" w:sz="0" w:space="0" w:color="auto"/>
            <w:bottom w:val="none" w:sz="0" w:space="0" w:color="auto"/>
            <w:right w:val="none" w:sz="0" w:space="0" w:color="auto"/>
          </w:divBdr>
        </w:div>
        <w:div w:id="629552890">
          <w:marLeft w:val="1123"/>
          <w:marRight w:val="0"/>
          <w:marTop w:val="60"/>
          <w:marBottom w:val="0"/>
          <w:divBdr>
            <w:top w:val="none" w:sz="0" w:space="0" w:color="auto"/>
            <w:left w:val="none" w:sz="0" w:space="0" w:color="auto"/>
            <w:bottom w:val="none" w:sz="0" w:space="0" w:color="auto"/>
            <w:right w:val="none" w:sz="0" w:space="0" w:color="auto"/>
          </w:divBdr>
        </w:div>
        <w:div w:id="747045369">
          <w:marLeft w:val="1123"/>
          <w:marRight w:val="0"/>
          <w:marTop w:val="60"/>
          <w:marBottom w:val="0"/>
          <w:divBdr>
            <w:top w:val="none" w:sz="0" w:space="0" w:color="auto"/>
            <w:left w:val="none" w:sz="0" w:space="0" w:color="auto"/>
            <w:bottom w:val="none" w:sz="0" w:space="0" w:color="auto"/>
            <w:right w:val="none" w:sz="0" w:space="0" w:color="auto"/>
          </w:divBdr>
        </w:div>
        <w:div w:id="760184427">
          <w:marLeft w:val="1123"/>
          <w:marRight w:val="0"/>
          <w:marTop w:val="60"/>
          <w:marBottom w:val="0"/>
          <w:divBdr>
            <w:top w:val="none" w:sz="0" w:space="0" w:color="auto"/>
            <w:left w:val="none" w:sz="0" w:space="0" w:color="auto"/>
            <w:bottom w:val="none" w:sz="0" w:space="0" w:color="auto"/>
            <w:right w:val="none" w:sz="0" w:space="0" w:color="auto"/>
          </w:divBdr>
        </w:div>
        <w:div w:id="1025407077">
          <w:marLeft w:val="1123"/>
          <w:marRight w:val="0"/>
          <w:marTop w:val="60"/>
          <w:marBottom w:val="0"/>
          <w:divBdr>
            <w:top w:val="none" w:sz="0" w:space="0" w:color="auto"/>
            <w:left w:val="none" w:sz="0" w:space="0" w:color="auto"/>
            <w:bottom w:val="none" w:sz="0" w:space="0" w:color="auto"/>
            <w:right w:val="none" w:sz="0" w:space="0" w:color="auto"/>
          </w:divBdr>
        </w:div>
        <w:div w:id="1062564318">
          <w:marLeft w:val="1123"/>
          <w:marRight w:val="0"/>
          <w:marTop w:val="60"/>
          <w:marBottom w:val="0"/>
          <w:divBdr>
            <w:top w:val="none" w:sz="0" w:space="0" w:color="auto"/>
            <w:left w:val="none" w:sz="0" w:space="0" w:color="auto"/>
            <w:bottom w:val="none" w:sz="0" w:space="0" w:color="auto"/>
            <w:right w:val="none" w:sz="0" w:space="0" w:color="auto"/>
          </w:divBdr>
        </w:div>
        <w:div w:id="1098140181">
          <w:marLeft w:val="1123"/>
          <w:marRight w:val="0"/>
          <w:marTop w:val="60"/>
          <w:marBottom w:val="0"/>
          <w:divBdr>
            <w:top w:val="none" w:sz="0" w:space="0" w:color="auto"/>
            <w:left w:val="none" w:sz="0" w:space="0" w:color="auto"/>
            <w:bottom w:val="none" w:sz="0" w:space="0" w:color="auto"/>
            <w:right w:val="none" w:sz="0" w:space="0" w:color="auto"/>
          </w:divBdr>
        </w:div>
        <w:div w:id="1335493128">
          <w:marLeft w:val="2261"/>
          <w:marRight w:val="0"/>
          <w:marTop w:val="60"/>
          <w:marBottom w:val="0"/>
          <w:divBdr>
            <w:top w:val="none" w:sz="0" w:space="0" w:color="auto"/>
            <w:left w:val="none" w:sz="0" w:space="0" w:color="auto"/>
            <w:bottom w:val="none" w:sz="0" w:space="0" w:color="auto"/>
            <w:right w:val="none" w:sz="0" w:space="0" w:color="auto"/>
          </w:divBdr>
        </w:div>
        <w:div w:id="1384450795">
          <w:marLeft w:val="2261"/>
          <w:marRight w:val="0"/>
          <w:marTop w:val="60"/>
          <w:marBottom w:val="0"/>
          <w:divBdr>
            <w:top w:val="none" w:sz="0" w:space="0" w:color="auto"/>
            <w:left w:val="none" w:sz="0" w:space="0" w:color="auto"/>
            <w:bottom w:val="none" w:sz="0" w:space="0" w:color="auto"/>
            <w:right w:val="none" w:sz="0" w:space="0" w:color="auto"/>
          </w:divBdr>
        </w:div>
        <w:div w:id="1406608147">
          <w:marLeft w:val="1123"/>
          <w:marRight w:val="0"/>
          <w:marTop w:val="60"/>
          <w:marBottom w:val="0"/>
          <w:divBdr>
            <w:top w:val="none" w:sz="0" w:space="0" w:color="auto"/>
            <w:left w:val="none" w:sz="0" w:space="0" w:color="auto"/>
            <w:bottom w:val="none" w:sz="0" w:space="0" w:color="auto"/>
            <w:right w:val="none" w:sz="0" w:space="0" w:color="auto"/>
          </w:divBdr>
        </w:div>
        <w:div w:id="1560902812">
          <w:marLeft w:val="547"/>
          <w:marRight w:val="0"/>
          <w:marTop w:val="60"/>
          <w:marBottom w:val="0"/>
          <w:divBdr>
            <w:top w:val="none" w:sz="0" w:space="0" w:color="auto"/>
            <w:left w:val="none" w:sz="0" w:space="0" w:color="auto"/>
            <w:bottom w:val="none" w:sz="0" w:space="0" w:color="auto"/>
            <w:right w:val="none" w:sz="0" w:space="0" w:color="auto"/>
          </w:divBdr>
        </w:div>
        <w:div w:id="1894273884">
          <w:marLeft w:val="1123"/>
          <w:marRight w:val="0"/>
          <w:marTop w:val="60"/>
          <w:marBottom w:val="0"/>
          <w:divBdr>
            <w:top w:val="none" w:sz="0" w:space="0" w:color="auto"/>
            <w:left w:val="none" w:sz="0" w:space="0" w:color="auto"/>
            <w:bottom w:val="none" w:sz="0" w:space="0" w:color="auto"/>
            <w:right w:val="none" w:sz="0" w:space="0" w:color="auto"/>
          </w:divBdr>
        </w:div>
        <w:div w:id="1996256659">
          <w:marLeft w:val="1699"/>
          <w:marRight w:val="0"/>
          <w:marTop w:val="60"/>
          <w:marBottom w:val="0"/>
          <w:divBdr>
            <w:top w:val="none" w:sz="0" w:space="0" w:color="auto"/>
            <w:left w:val="none" w:sz="0" w:space="0" w:color="auto"/>
            <w:bottom w:val="none" w:sz="0" w:space="0" w:color="auto"/>
            <w:right w:val="none" w:sz="0" w:space="0" w:color="auto"/>
          </w:divBdr>
        </w:div>
        <w:div w:id="2135319090">
          <w:marLeft w:val="547"/>
          <w:marRight w:val="0"/>
          <w:marTop w:val="60"/>
          <w:marBottom w:val="0"/>
          <w:divBdr>
            <w:top w:val="none" w:sz="0" w:space="0" w:color="auto"/>
            <w:left w:val="none" w:sz="0" w:space="0" w:color="auto"/>
            <w:bottom w:val="none" w:sz="0" w:space="0" w:color="auto"/>
            <w:right w:val="none" w:sz="0" w:space="0" w:color="auto"/>
          </w:divBdr>
        </w:div>
      </w:divsChild>
    </w:div>
    <w:div w:id="1781534662">
      <w:bodyDiv w:val="1"/>
      <w:marLeft w:val="0"/>
      <w:marRight w:val="0"/>
      <w:marTop w:val="0"/>
      <w:marBottom w:val="0"/>
      <w:divBdr>
        <w:top w:val="none" w:sz="0" w:space="0" w:color="auto"/>
        <w:left w:val="none" w:sz="0" w:space="0" w:color="auto"/>
        <w:bottom w:val="none" w:sz="0" w:space="0" w:color="auto"/>
        <w:right w:val="none" w:sz="0" w:space="0" w:color="auto"/>
      </w:divBdr>
      <w:divsChild>
        <w:div w:id="4090597">
          <w:marLeft w:val="1166"/>
          <w:marRight w:val="0"/>
          <w:marTop w:val="0"/>
          <w:marBottom w:val="0"/>
          <w:divBdr>
            <w:top w:val="none" w:sz="0" w:space="0" w:color="auto"/>
            <w:left w:val="none" w:sz="0" w:space="0" w:color="auto"/>
            <w:bottom w:val="none" w:sz="0" w:space="0" w:color="auto"/>
            <w:right w:val="none" w:sz="0" w:space="0" w:color="auto"/>
          </w:divBdr>
        </w:div>
        <w:div w:id="115490287">
          <w:marLeft w:val="1166"/>
          <w:marRight w:val="0"/>
          <w:marTop w:val="0"/>
          <w:marBottom w:val="0"/>
          <w:divBdr>
            <w:top w:val="none" w:sz="0" w:space="0" w:color="auto"/>
            <w:left w:val="none" w:sz="0" w:space="0" w:color="auto"/>
            <w:bottom w:val="none" w:sz="0" w:space="0" w:color="auto"/>
            <w:right w:val="none" w:sz="0" w:space="0" w:color="auto"/>
          </w:divBdr>
        </w:div>
        <w:div w:id="254632053">
          <w:marLeft w:val="1166"/>
          <w:marRight w:val="0"/>
          <w:marTop w:val="0"/>
          <w:marBottom w:val="0"/>
          <w:divBdr>
            <w:top w:val="none" w:sz="0" w:space="0" w:color="auto"/>
            <w:left w:val="none" w:sz="0" w:space="0" w:color="auto"/>
            <w:bottom w:val="none" w:sz="0" w:space="0" w:color="auto"/>
            <w:right w:val="none" w:sz="0" w:space="0" w:color="auto"/>
          </w:divBdr>
        </w:div>
        <w:div w:id="318853425">
          <w:marLeft w:val="547"/>
          <w:marRight w:val="0"/>
          <w:marTop w:val="0"/>
          <w:marBottom w:val="0"/>
          <w:divBdr>
            <w:top w:val="none" w:sz="0" w:space="0" w:color="auto"/>
            <w:left w:val="none" w:sz="0" w:space="0" w:color="auto"/>
            <w:bottom w:val="none" w:sz="0" w:space="0" w:color="auto"/>
            <w:right w:val="none" w:sz="0" w:space="0" w:color="auto"/>
          </w:divBdr>
        </w:div>
        <w:div w:id="526989548">
          <w:marLeft w:val="1166"/>
          <w:marRight w:val="0"/>
          <w:marTop w:val="0"/>
          <w:marBottom w:val="0"/>
          <w:divBdr>
            <w:top w:val="none" w:sz="0" w:space="0" w:color="auto"/>
            <w:left w:val="none" w:sz="0" w:space="0" w:color="auto"/>
            <w:bottom w:val="none" w:sz="0" w:space="0" w:color="auto"/>
            <w:right w:val="none" w:sz="0" w:space="0" w:color="auto"/>
          </w:divBdr>
        </w:div>
        <w:div w:id="537471602">
          <w:marLeft w:val="547"/>
          <w:marRight w:val="0"/>
          <w:marTop w:val="0"/>
          <w:marBottom w:val="0"/>
          <w:divBdr>
            <w:top w:val="none" w:sz="0" w:space="0" w:color="auto"/>
            <w:left w:val="none" w:sz="0" w:space="0" w:color="auto"/>
            <w:bottom w:val="none" w:sz="0" w:space="0" w:color="auto"/>
            <w:right w:val="none" w:sz="0" w:space="0" w:color="auto"/>
          </w:divBdr>
        </w:div>
        <w:div w:id="847448548">
          <w:marLeft w:val="1800"/>
          <w:marRight w:val="0"/>
          <w:marTop w:val="0"/>
          <w:marBottom w:val="0"/>
          <w:divBdr>
            <w:top w:val="none" w:sz="0" w:space="0" w:color="auto"/>
            <w:left w:val="none" w:sz="0" w:space="0" w:color="auto"/>
            <w:bottom w:val="none" w:sz="0" w:space="0" w:color="auto"/>
            <w:right w:val="none" w:sz="0" w:space="0" w:color="auto"/>
          </w:divBdr>
        </w:div>
        <w:div w:id="885021946">
          <w:marLeft w:val="1166"/>
          <w:marRight w:val="0"/>
          <w:marTop w:val="0"/>
          <w:marBottom w:val="0"/>
          <w:divBdr>
            <w:top w:val="none" w:sz="0" w:space="0" w:color="auto"/>
            <w:left w:val="none" w:sz="0" w:space="0" w:color="auto"/>
            <w:bottom w:val="none" w:sz="0" w:space="0" w:color="auto"/>
            <w:right w:val="none" w:sz="0" w:space="0" w:color="auto"/>
          </w:divBdr>
        </w:div>
        <w:div w:id="997851732">
          <w:marLeft w:val="547"/>
          <w:marRight w:val="0"/>
          <w:marTop w:val="0"/>
          <w:marBottom w:val="0"/>
          <w:divBdr>
            <w:top w:val="none" w:sz="0" w:space="0" w:color="auto"/>
            <w:left w:val="none" w:sz="0" w:space="0" w:color="auto"/>
            <w:bottom w:val="none" w:sz="0" w:space="0" w:color="auto"/>
            <w:right w:val="none" w:sz="0" w:space="0" w:color="auto"/>
          </w:divBdr>
        </w:div>
        <w:div w:id="1110586904">
          <w:marLeft w:val="1166"/>
          <w:marRight w:val="0"/>
          <w:marTop w:val="0"/>
          <w:marBottom w:val="0"/>
          <w:divBdr>
            <w:top w:val="none" w:sz="0" w:space="0" w:color="auto"/>
            <w:left w:val="none" w:sz="0" w:space="0" w:color="auto"/>
            <w:bottom w:val="none" w:sz="0" w:space="0" w:color="auto"/>
            <w:right w:val="none" w:sz="0" w:space="0" w:color="auto"/>
          </w:divBdr>
        </w:div>
        <w:div w:id="1324508972">
          <w:marLeft w:val="1166"/>
          <w:marRight w:val="0"/>
          <w:marTop w:val="0"/>
          <w:marBottom w:val="0"/>
          <w:divBdr>
            <w:top w:val="none" w:sz="0" w:space="0" w:color="auto"/>
            <w:left w:val="none" w:sz="0" w:space="0" w:color="auto"/>
            <w:bottom w:val="none" w:sz="0" w:space="0" w:color="auto"/>
            <w:right w:val="none" w:sz="0" w:space="0" w:color="auto"/>
          </w:divBdr>
        </w:div>
        <w:div w:id="1337079768">
          <w:marLeft w:val="1166"/>
          <w:marRight w:val="0"/>
          <w:marTop w:val="0"/>
          <w:marBottom w:val="0"/>
          <w:divBdr>
            <w:top w:val="none" w:sz="0" w:space="0" w:color="auto"/>
            <w:left w:val="none" w:sz="0" w:space="0" w:color="auto"/>
            <w:bottom w:val="none" w:sz="0" w:space="0" w:color="auto"/>
            <w:right w:val="none" w:sz="0" w:space="0" w:color="auto"/>
          </w:divBdr>
        </w:div>
        <w:div w:id="1448425146">
          <w:marLeft w:val="547"/>
          <w:marRight w:val="0"/>
          <w:marTop w:val="0"/>
          <w:marBottom w:val="0"/>
          <w:divBdr>
            <w:top w:val="none" w:sz="0" w:space="0" w:color="auto"/>
            <w:left w:val="none" w:sz="0" w:space="0" w:color="auto"/>
            <w:bottom w:val="none" w:sz="0" w:space="0" w:color="auto"/>
            <w:right w:val="none" w:sz="0" w:space="0" w:color="auto"/>
          </w:divBdr>
        </w:div>
        <w:div w:id="1571580616">
          <w:marLeft w:val="1166"/>
          <w:marRight w:val="0"/>
          <w:marTop w:val="0"/>
          <w:marBottom w:val="0"/>
          <w:divBdr>
            <w:top w:val="none" w:sz="0" w:space="0" w:color="auto"/>
            <w:left w:val="none" w:sz="0" w:space="0" w:color="auto"/>
            <w:bottom w:val="none" w:sz="0" w:space="0" w:color="auto"/>
            <w:right w:val="none" w:sz="0" w:space="0" w:color="auto"/>
          </w:divBdr>
        </w:div>
        <w:div w:id="1637180204">
          <w:marLeft w:val="1166"/>
          <w:marRight w:val="0"/>
          <w:marTop w:val="0"/>
          <w:marBottom w:val="0"/>
          <w:divBdr>
            <w:top w:val="none" w:sz="0" w:space="0" w:color="auto"/>
            <w:left w:val="none" w:sz="0" w:space="0" w:color="auto"/>
            <w:bottom w:val="none" w:sz="0" w:space="0" w:color="auto"/>
            <w:right w:val="none" w:sz="0" w:space="0" w:color="auto"/>
          </w:divBdr>
        </w:div>
        <w:div w:id="1703439725">
          <w:marLeft w:val="1166"/>
          <w:marRight w:val="0"/>
          <w:marTop w:val="0"/>
          <w:marBottom w:val="0"/>
          <w:divBdr>
            <w:top w:val="none" w:sz="0" w:space="0" w:color="auto"/>
            <w:left w:val="none" w:sz="0" w:space="0" w:color="auto"/>
            <w:bottom w:val="none" w:sz="0" w:space="0" w:color="auto"/>
            <w:right w:val="none" w:sz="0" w:space="0" w:color="auto"/>
          </w:divBdr>
        </w:div>
        <w:div w:id="1767768270">
          <w:marLeft w:val="1166"/>
          <w:marRight w:val="0"/>
          <w:marTop w:val="0"/>
          <w:marBottom w:val="0"/>
          <w:divBdr>
            <w:top w:val="none" w:sz="0" w:space="0" w:color="auto"/>
            <w:left w:val="none" w:sz="0" w:space="0" w:color="auto"/>
            <w:bottom w:val="none" w:sz="0" w:space="0" w:color="auto"/>
            <w:right w:val="none" w:sz="0" w:space="0" w:color="auto"/>
          </w:divBdr>
        </w:div>
        <w:div w:id="1777940200">
          <w:marLeft w:val="1166"/>
          <w:marRight w:val="0"/>
          <w:marTop w:val="0"/>
          <w:marBottom w:val="0"/>
          <w:divBdr>
            <w:top w:val="none" w:sz="0" w:space="0" w:color="auto"/>
            <w:left w:val="none" w:sz="0" w:space="0" w:color="auto"/>
            <w:bottom w:val="none" w:sz="0" w:space="0" w:color="auto"/>
            <w:right w:val="none" w:sz="0" w:space="0" w:color="auto"/>
          </w:divBdr>
        </w:div>
        <w:div w:id="1848055047">
          <w:marLeft w:val="1166"/>
          <w:marRight w:val="0"/>
          <w:marTop w:val="0"/>
          <w:marBottom w:val="0"/>
          <w:divBdr>
            <w:top w:val="none" w:sz="0" w:space="0" w:color="auto"/>
            <w:left w:val="none" w:sz="0" w:space="0" w:color="auto"/>
            <w:bottom w:val="none" w:sz="0" w:space="0" w:color="auto"/>
            <w:right w:val="none" w:sz="0" w:space="0" w:color="auto"/>
          </w:divBdr>
        </w:div>
        <w:div w:id="1856115366">
          <w:marLeft w:val="1166"/>
          <w:marRight w:val="0"/>
          <w:marTop w:val="0"/>
          <w:marBottom w:val="0"/>
          <w:divBdr>
            <w:top w:val="none" w:sz="0" w:space="0" w:color="auto"/>
            <w:left w:val="none" w:sz="0" w:space="0" w:color="auto"/>
            <w:bottom w:val="none" w:sz="0" w:space="0" w:color="auto"/>
            <w:right w:val="none" w:sz="0" w:space="0" w:color="auto"/>
          </w:divBdr>
        </w:div>
        <w:div w:id="1955670428">
          <w:marLeft w:val="1166"/>
          <w:marRight w:val="0"/>
          <w:marTop w:val="0"/>
          <w:marBottom w:val="0"/>
          <w:divBdr>
            <w:top w:val="none" w:sz="0" w:space="0" w:color="auto"/>
            <w:left w:val="none" w:sz="0" w:space="0" w:color="auto"/>
            <w:bottom w:val="none" w:sz="0" w:space="0" w:color="auto"/>
            <w:right w:val="none" w:sz="0" w:space="0" w:color="auto"/>
          </w:divBdr>
        </w:div>
      </w:divsChild>
    </w:div>
    <w:div w:id="180742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customXml" Target="../customXml/item1.xml"/><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6439CE5-A9DA-4C25-A209-5520CE678278}"/>
</file>

<file path=customXml/itemProps2.xml><?xml version="1.0" encoding="utf-8"?>
<ds:datastoreItem xmlns:ds="http://schemas.openxmlformats.org/officeDocument/2006/customXml" ds:itemID="{02E43507-A3B9-4843-906F-9CA8477D10F4}"/>
</file>

<file path=customXml/itemProps3.xml><?xml version="1.0" encoding="utf-8"?>
<ds:datastoreItem xmlns:ds="http://schemas.openxmlformats.org/officeDocument/2006/customXml" ds:itemID="{D01FE1CF-A293-41C8-AB42-1D33DF6D5812}"/>
</file>

<file path=docProps/app.xml><?xml version="1.0" encoding="utf-8"?>
<Properties xmlns="http://schemas.openxmlformats.org/officeDocument/2006/extended-properties" xmlns:vt="http://schemas.openxmlformats.org/officeDocument/2006/docPropsVTypes">
  <Template>Normal</Template>
  <TotalTime>0</TotalTime>
  <Pages>19</Pages>
  <Words>8414</Words>
  <Characters>47964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56266</CharactersWithSpaces>
  <SharedDoc>false</SharedDoc>
  <HLinks>
    <vt:vector size="192" baseType="variant">
      <vt:variant>
        <vt:i4>1572916</vt:i4>
      </vt:variant>
      <vt:variant>
        <vt:i4>176</vt:i4>
      </vt:variant>
      <vt:variant>
        <vt:i4>0</vt:i4>
      </vt:variant>
      <vt:variant>
        <vt:i4>5</vt:i4>
      </vt:variant>
      <vt:variant>
        <vt:lpwstr/>
      </vt:variant>
      <vt:variant>
        <vt:lpwstr>_Toc83990055</vt:lpwstr>
      </vt:variant>
      <vt:variant>
        <vt:i4>1638452</vt:i4>
      </vt:variant>
      <vt:variant>
        <vt:i4>173</vt:i4>
      </vt:variant>
      <vt:variant>
        <vt:i4>0</vt:i4>
      </vt:variant>
      <vt:variant>
        <vt:i4>5</vt:i4>
      </vt:variant>
      <vt:variant>
        <vt:lpwstr/>
      </vt:variant>
      <vt:variant>
        <vt:lpwstr>_Toc83990054</vt:lpwstr>
      </vt:variant>
      <vt:variant>
        <vt:i4>1966132</vt:i4>
      </vt:variant>
      <vt:variant>
        <vt:i4>170</vt:i4>
      </vt:variant>
      <vt:variant>
        <vt:i4>0</vt:i4>
      </vt:variant>
      <vt:variant>
        <vt:i4>5</vt:i4>
      </vt:variant>
      <vt:variant>
        <vt:lpwstr/>
      </vt:variant>
      <vt:variant>
        <vt:lpwstr>_Toc83990053</vt:lpwstr>
      </vt:variant>
      <vt:variant>
        <vt:i4>2031668</vt:i4>
      </vt:variant>
      <vt:variant>
        <vt:i4>167</vt:i4>
      </vt:variant>
      <vt:variant>
        <vt:i4>0</vt:i4>
      </vt:variant>
      <vt:variant>
        <vt:i4>5</vt:i4>
      </vt:variant>
      <vt:variant>
        <vt:lpwstr/>
      </vt:variant>
      <vt:variant>
        <vt:lpwstr>_Toc83990052</vt:lpwstr>
      </vt:variant>
      <vt:variant>
        <vt:i4>1835060</vt:i4>
      </vt:variant>
      <vt:variant>
        <vt:i4>164</vt:i4>
      </vt:variant>
      <vt:variant>
        <vt:i4>0</vt:i4>
      </vt:variant>
      <vt:variant>
        <vt:i4>5</vt:i4>
      </vt:variant>
      <vt:variant>
        <vt:lpwstr/>
      </vt:variant>
      <vt:variant>
        <vt:lpwstr>_Toc83990051</vt:lpwstr>
      </vt:variant>
      <vt:variant>
        <vt:i4>1900596</vt:i4>
      </vt:variant>
      <vt:variant>
        <vt:i4>161</vt:i4>
      </vt:variant>
      <vt:variant>
        <vt:i4>0</vt:i4>
      </vt:variant>
      <vt:variant>
        <vt:i4>5</vt:i4>
      </vt:variant>
      <vt:variant>
        <vt:lpwstr/>
      </vt:variant>
      <vt:variant>
        <vt:lpwstr>_Toc83990050</vt:lpwstr>
      </vt:variant>
      <vt:variant>
        <vt:i4>1310773</vt:i4>
      </vt:variant>
      <vt:variant>
        <vt:i4>158</vt:i4>
      </vt:variant>
      <vt:variant>
        <vt:i4>0</vt:i4>
      </vt:variant>
      <vt:variant>
        <vt:i4>5</vt:i4>
      </vt:variant>
      <vt:variant>
        <vt:lpwstr/>
      </vt:variant>
      <vt:variant>
        <vt:lpwstr>_Toc83990049</vt:lpwstr>
      </vt:variant>
      <vt:variant>
        <vt:i4>1376309</vt:i4>
      </vt:variant>
      <vt:variant>
        <vt:i4>155</vt:i4>
      </vt:variant>
      <vt:variant>
        <vt:i4>0</vt:i4>
      </vt:variant>
      <vt:variant>
        <vt:i4>5</vt:i4>
      </vt:variant>
      <vt:variant>
        <vt:lpwstr/>
      </vt:variant>
      <vt:variant>
        <vt:lpwstr>_Toc83990048</vt:lpwstr>
      </vt:variant>
      <vt:variant>
        <vt:i4>1703989</vt:i4>
      </vt:variant>
      <vt:variant>
        <vt:i4>152</vt:i4>
      </vt:variant>
      <vt:variant>
        <vt:i4>0</vt:i4>
      </vt:variant>
      <vt:variant>
        <vt:i4>5</vt:i4>
      </vt:variant>
      <vt:variant>
        <vt:lpwstr/>
      </vt:variant>
      <vt:variant>
        <vt:lpwstr>_Toc83990047</vt:lpwstr>
      </vt:variant>
      <vt:variant>
        <vt:i4>1966133</vt:i4>
      </vt:variant>
      <vt:variant>
        <vt:i4>149</vt:i4>
      </vt:variant>
      <vt:variant>
        <vt:i4>0</vt:i4>
      </vt:variant>
      <vt:variant>
        <vt:i4>5</vt:i4>
      </vt:variant>
      <vt:variant>
        <vt:lpwstr/>
      </vt:variant>
      <vt:variant>
        <vt:lpwstr>_Toc83990043</vt:lpwstr>
      </vt:variant>
      <vt:variant>
        <vt:i4>2031669</vt:i4>
      </vt:variant>
      <vt:variant>
        <vt:i4>146</vt:i4>
      </vt:variant>
      <vt:variant>
        <vt:i4>0</vt:i4>
      </vt:variant>
      <vt:variant>
        <vt:i4>5</vt:i4>
      </vt:variant>
      <vt:variant>
        <vt:lpwstr/>
      </vt:variant>
      <vt:variant>
        <vt:lpwstr>_Toc83990042</vt:lpwstr>
      </vt:variant>
      <vt:variant>
        <vt:i4>1835061</vt:i4>
      </vt:variant>
      <vt:variant>
        <vt:i4>143</vt:i4>
      </vt:variant>
      <vt:variant>
        <vt:i4>0</vt:i4>
      </vt:variant>
      <vt:variant>
        <vt:i4>5</vt:i4>
      </vt:variant>
      <vt:variant>
        <vt:lpwstr/>
      </vt:variant>
      <vt:variant>
        <vt:lpwstr>_Toc83990041</vt:lpwstr>
      </vt:variant>
      <vt:variant>
        <vt:i4>1900597</vt:i4>
      </vt:variant>
      <vt:variant>
        <vt:i4>140</vt:i4>
      </vt:variant>
      <vt:variant>
        <vt:i4>0</vt:i4>
      </vt:variant>
      <vt:variant>
        <vt:i4>5</vt:i4>
      </vt:variant>
      <vt:variant>
        <vt:lpwstr/>
      </vt:variant>
      <vt:variant>
        <vt:lpwstr>_Toc83990040</vt:lpwstr>
      </vt:variant>
      <vt:variant>
        <vt:i4>1310770</vt:i4>
      </vt:variant>
      <vt:variant>
        <vt:i4>137</vt:i4>
      </vt:variant>
      <vt:variant>
        <vt:i4>0</vt:i4>
      </vt:variant>
      <vt:variant>
        <vt:i4>5</vt:i4>
      </vt:variant>
      <vt:variant>
        <vt:lpwstr/>
      </vt:variant>
      <vt:variant>
        <vt:lpwstr>_Toc83990039</vt:lpwstr>
      </vt:variant>
      <vt:variant>
        <vt:i4>1376306</vt:i4>
      </vt:variant>
      <vt:variant>
        <vt:i4>134</vt:i4>
      </vt:variant>
      <vt:variant>
        <vt:i4>0</vt:i4>
      </vt:variant>
      <vt:variant>
        <vt:i4>5</vt:i4>
      </vt:variant>
      <vt:variant>
        <vt:lpwstr/>
      </vt:variant>
      <vt:variant>
        <vt:lpwstr>_Toc83990038</vt:lpwstr>
      </vt:variant>
      <vt:variant>
        <vt:i4>1703986</vt:i4>
      </vt:variant>
      <vt:variant>
        <vt:i4>131</vt:i4>
      </vt:variant>
      <vt:variant>
        <vt:i4>0</vt:i4>
      </vt:variant>
      <vt:variant>
        <vt:i4>5</vt:i4>
      </vt:variant>
      <vt:variant>
        <vt:lpwstr/>
      </vt:variant>
      <vt:variant>
        <vt:lpwstr>_Toc83990037</vt:lpwstr>
      </vt:variant>
      <vt:variant>
        <vt:i4>1769522</vt:i4>
      </vt:variant>
      <vt:variant>
        <vt:i4>128</vt:i4>
      </vt:variant>
      <vt:variant>
        <vt:i4>0</vt:i4>
      </vt:variant>
      <vt:variant>
        <vt:i4>5</vt:i4>
      </vt:variant>
      <vt:variant>
        <vt:lpwstr/>
      </vt:variant>
      <vt:variant>
        <vt:lpwstr>_Toc83990036</vt:lpwstr>
      </vt:variant>
      <vt:variant>
        <vt:i4>1572914</vt:i4>
      </vt:variant>
      <vt:variant>
        <vt:i4>125</vt:i4>
      </vt:variant>
      <vt:variant>
        <vt:i4>0</vt:i4>
      </vt:variant>
      <vt:variant>
        <vt:i4>5</vt:i4>
      </vt:variant>
      <vt:variant>
        <vt:lpwstr/>
      </vt:variant>
      <vt:variant>
        <vt:lpwstr>_Toc83990035</vt:lpwstr>
      </vt:variant>
      <vt:variant>
        <vt:i4>1638450</vt:i4>
      </vt:variant>
      <vt:variant>
        <vt:i4>122</vt:i4>
      </vt:variant>
      <vt:variant>
        <vt:i4>0</vt:i4>
      </vt:variant>
      <vt:variant>
        <vt:i4>5</vt:i4>
      </vt:variant>
      <vt:variant>
        <vt:lpwstr/>
      </vt:variant>
      <vt:variant>
        <vt:lpwstr>_Toc83990034</vt:lpwstr>
      </vt:variant>
      <vt:variant>
        <vt:i4>1966130</vt:i4>
      </vt:variant>
      <vt:variant>
        <vt:i4>119</vt:i4>
      </vt:variant>
      <vt:variant>
        <vt:i4>0</vt:i4>
      </vt:variant>
      <vt:variant>
        <vt:i4>5</vt:i4>
      </vt:variant>
      <vt:variant>
        <vt:lpwstr/>
      </vt:variant>
      <vt:variant>
        <vt:lpwstr>_Toc83990033</vt:lpwstr>
      </vt:variant>
      <vt:variant>
        <vt:i4>2031666</vt:i4>
      </vt:variant>
      <vt:variant>
        <vt:i4>116</vt:i4>
      </vt:variant>
      <vt:variant>
        <vt:i4>0</vt:i4>
      </vt:variant>
      <vt:variant>
        <vt:i4>5</vt:i4>
      </vt:variant>
      <vt:variant>
        <vt:lpwstr/>
      </vt:variant>
      <vt:variant>
        <vt:lpwstr>_Toc83990032</vt:lpwstr>
      </vt:variant>
      <vt:variant>
        <vt:i4>1835058</vt:i4>
      </vt:variant>
      <vt:variant>
        <vt:i4>113</vt:i4>
      </vt:variant>
      <vt:variant>
        <vt:i4>0</vt:i4>
      </vt:variant>
      <vt:variant>
        <vt:i4>5</vt:i4>
      </vt:variant>
      <vt:variant>
        <vt:lpwstr/>
      </vt:variant>
      <vt:variant>
        <vt:lpwstr>_Toc83990031</vt:lpwstr>
      </vt:variant>
      <vt:variant>
        <vt:i4>1900594</vt:i4>
      </vt:variant>
      <vt:variant>
        <vt:i4>110</vt:i4>
      </vt:variant>
      <vt:variant>
        <vt:i4>0</vt:i4>
      </vt:variant>
      <vt:variant>
        <vt:i4>5</vt:i4>
      </vt:variant>
      <vt:variant>
        <vt:lpwstr/>
      </vt:variant>
      <vt:variant>
        <vt:lpwstr>_Toc83990030</vt:lpwstr>
      </vt:variant>
      <vt:variant>
        <vt:i4>1638455</vt:i4>
      </vt:variant>
      <vt:variant>
        <vt:i4>104</vt:i4>
      </vt:variant>
      <vt:variant>
        <vt:i4>0</vt:i4>
      </vt:variant>
      <vt:variant>
        <vt:i4>5</vt:i4>
      </vt:variant>
      <vt:variant>
        <vt:lpwstr/>
      </vt:variant>
      <vt:variant>
        <vt:lpwstr>_Toc83990064</vt:lpwstr>
      </vt:variant>
      <vt:variant>
        <vt:i4>1966135</vt:i4>
      </vt:variant>
      <vt:variant>
        <vt:i4>101</vt:i4>
      </vt:variant>
      <vt:variant>
        <vt:i4>0</vt:i4>
      </vt:variant>
      <vt:variant>
        <vt:i4>5</vt:i4>
      </vt:variant>
      <vt:variant>
        <vt:lpwstr/>
      </vt:variant>
      <vt:variant>
        <vt:lpwstr>_Toc83990063</vt:lpwstr>
      </vt:variant>
      <vt:variant>
        <vt:i4>2031671</vt:i4>
      </vt:variant>
      <vt:variant>
        <vt:i4>98</vt:i4>
      </vt:variant>
      <vt:variant>
        <vt:i4>0</vt:i4>
      </vt:variant>
      <vt:variant>
        <vt:i4>5</vt:i4>
      </vt:variant>
      <vt:variant>
        <vt:lpwstr/>
      </vt:variant>
      <vt:variant>
        <vt:lpwstr>_Toc83990062</vt:lpwstr>
      </vt:variant>
      <vt:variant>
        <vt:i4>1835063</vt:i4>
      </vt:variant>
      <vt:variant>
        <vt:i4>95</vt:i4>
      </vt:variant>
      <vt:variant>
        <vt:i4>0</vt:i4>
      </vt:variant>
      <vt:variant>
        <vt:i4>5</vt:i4>
      </vt:variant>
      <vt:variant>
        <vt:lpwstr/>
      </vt:variant>
      <vt:variant>
        <vt:lpwstr>_Toc83990061</vt:lpwstr>
      </vt:variant>
      <vt:variant>
        <vt:i4>1900599</vt:i4>
      </vt:variant>
      <vt:variant>
        <vt:i4>92</vt:i4>
      </vt:variant>
      <vt:variant>
        <vt:i4>0</vt:i4>
      </vt:variant>
      <vt:variant>
        <vt:i4>5</vt:i4>
      </vt:variant>
      <vt:variant>
        <vt:lpwstr/>
      </vt:variant>
      <vt:variant>
        <vt:lpwstr>_Toc83990060</vt:lpwstr>
      </vt:variant>
      <vt:variant>
        <vt:i4>1310772</vt:i4>
      </vt:variant>
      <vt:variant>
        <vt:i4>89</vt:i4>
      </vt:variant>
      <vt:variant>
        <vt:i4>0</vt:i4>
      </vt:variant>
      <vt:variant>
        <vt:i4>5</vt:i4>
      </vt:variant>
      <vt:variant>
        <vt:lpwstr/>
      </vt:variant>
      <vt:variant>
        <vt:lpwstr>_Toc83990059</vt:lpwstr>
      </vt:variant>
      <vt:variant>
        <vt:i4>1376308</vt:i4>
      </vt:variant>
      <vt:variant>
        <vt:i4>86</vt:i4>
      </vt:variant>
      <vt:variant>
        <vt:i4>0</vt:i4>
      </vt:variant>
      <vt:variant>
        <vt:i4>5</vt:i4>
      </vt:variant>
      <vt:variant>
        <vt:lpwstr/>
      </vt:variant>
      <vt:variant>
        <vt:lpwstr>_Toc83990058</vt:lpwstr>
      </vt:variant>
      <vt:variant>
        <vt:i4>1703988</vt:i4>
      </vt:variant>
      <vt:variant>
        <vt:i4>83</vt:i4>
      </vt:variant>
      <vt:variant>
        <vt:i4>0</vt:i4>
      </vt:variant>
      <vt:variant>
        <vt:i4>5</vt:i4>
      </vt:variant>
      <vt:variant>
        <vt:lpwstr/>
      </vt:variant>
      <vt:variant>
        <vt:lpwstr>_Toc83990057</vt:lpwstr>
      </vt:variant>
      <vt:variant>
        <vt:i4>1769524</vt:i4>
      </vt:variant>
      <vt:variant>
        <vt:i4>80</vt:i4>
      </vt:variant>
      <vt:variant>
        <vt:i4>0</vt:i4>
      </vt:variant>
      <vt:variant>
        <vt:i4>5</vt:i4>
      </vt:variant>
      <vt:variant>
        <vt:lpwstr/>
      </vt:variant>
      <vt:variant>
        <vt:lpwstr>_Toc83990056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2021-10-01T21:39:00Z</dcterms:created>
  <dcterms:modified xsi:type="dcterms:W3CDTF">2021-10-01T21:40:00Z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